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96" w:rsidRDefault="00743B9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3B96" w:rsidRDefault="00743B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3B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B96" w:rsidRDefault="00743B96">
            <w:pPr>
              <w:pStyle w:val="ConsPlusNormal"/>
              <w:outlineLvl w:val="0"/>
            </w:pPr>
            <w:r>
              <w:t>9 августа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B96" w:rsidRDefault="00743B96">
            <w:pPr>
              <w:pStyle w:val="ConsPlusNormal"/>
              <w:jc w:val="right"/>
              <w:outlineLvl w:val="0"/>
            </w:pPr>
            <w:r>
              <w:t>N 505</w:t>
            </w:r>
          </w:p>
        </w:tc>
      </w:tr>
    </w:tbl>
    <w:p w:rsidR="00743B96" w:rsidRDefault="00743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B96" w:rsidRDefault="00743B96">
      <w:pPr>
        <w:pStyle w:val="ConsPlusNormal"/>
        <w:jc w:val="both"/>
      </w:pPr>
    </w:p>
    <w:p w:rsidR="00743B96" w:rsidRDefault="00743B96">
      <w:pPr>
        <w:pStyle w:val="ConsPlusTitle"/>
        <w:jc w:val="center"/>
      </w:pPr>
      <w:r>
        <w:t>УКАЗ</w:t>
      </w:r>
    </w:p>
    <w:p w:rsidR="00743B96" w:rsidRDefault="00743B96">
      <w:pPr>
        <w:pStyle w:val="ConsPlusTitle"/>
        <w:jc w:val="center"/>
      </w:pPr>
    </w:p>
    <w:p w:rsidR="00743B96" w:rsidRDefault="00743B96">
      <w:pPr>
        <w:pStyle w:val="ConsPlusTitle"/>
        <w:jc w:val="center"/>
      </w:pPr>
      <w:r>
        <w:t>ПРЕЗИДЕНТА РОССИЙСКОЙ ФЕДЕРАЦИИ</w:t>
      </w:r>
    </w:p>
    <w:p w:rsidR="00743B96" w:rsidRDefault="00743B96">
      <w:pPr>
        <w:pStyle w:val="ConsPlusTitle"/>
        <w:jc w:val="center"/>
      </w:pPr>
    </w:p>
    <w:p w:rsidR="00743B96" w:rsidRDefault="00743B96">
      <w:pPr>
        <w:pStyle w:val="ConsPlusTitle"/>
        <w:jc w:val="center"/>
      </w:pPr>
      <w:r>
        <w:t>ОБ УТВЕРЖДЕНИИ СТРАТЕГИИ</w:t>
      </w:r>
    </w:p>
    <w:p w:rsidR="00743B96" w:rsidRDefault="00743B96">
      <w:pPr>
        <w:pStyle w:val="ConsPlusTitle"/>
        <w:jc w:val="center"/>
      </w:pPr>
      <w:r>
        <w:t>ГОСУДАРСТВЕННОЙ ПОЛИТИКИ РОССИЙСКОЙ ФЕДЕРАЦИИ В ОТНОШЕНИИ</w:t>
      </w:r>
    </w:p>
    <w:p w:rsidR="00743B96" w:rsidRDefault="00743B96">
      <w:pPr>
        <w:pStyle w:val="ConsPlusTitle"/>
        <w:jc w:val="center"/>
      </w:pPr>
      <w:r>
        <w:t>РОССИЙСКОГО КАЗАЧЕСТВА НА 2021 - 2030 ГОДЫ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Normal"/>
        <w:ind w:firstLine="540"/>
        <w:jc w:val="both"/>
      </w:pPr>
      <w:r>
        <w:t>В целях обеспечения реализации государственной политики Российской Федерации в отношении российского казачества постановляю: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Стратегию</w:t>
        </w:r>
      </w:hyperlink>
      <w:r>
        <w:t xml:space="preserve"> государственной политики Российской Федерации в отношении российского казачества на 2021 - 2030 годы.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а) обеспечить реализацию </w:t>
      </w:r>
      <w:hyperlink w:anchor="P36" w:history="1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отношении российского казачества на 2021 - 2030 годы;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б) утвердить в 3-месячный срок </w:t>
      </w:r>
      <w:hyperlink r:id="rId5" w:history="1">
        <w:r>
          <w:rPr>
            <w:color w:val="0000FF"/>
          </w:rPr>
          <w:t>перечень</w:t>
        </w:r>
      </w:hyperlink>
      <w:r>
        <w:t xml:space="preserve"> целевых показателей реализации Стратегии государственной политики Российской Федерации в отношении российского казачества на 2021 - 2030 годы и </w:t>
      </w:r>
      <w:hyperlink r:id="rId6" w:history="1">
        <w:r>
          <w:rPr>
            <w:color w:val="0000FF"/>
          </w:rPr>
          <w:t>план</w:t>
        </w:r>
      </w:hyperlink>
      <w:r>
        <w:t xml:space="preserve"> мероприятий по ее реализации.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3. Признать утратившей силу Концепцию государственной политики Российской Федерации в отношении российского казачества, утвержденную Президентом Российской Федерации 2 июля 2008 г. N Пр-1355.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Normal"/>
        <w:jc w:val="right"/>
      </w:pPr>
      <w:r>
        <w:t>Президент</w:t>
      </w:r>
    </w:p>
    <w:p w:rsidR="00743B96" w:rsidRDefault="00743B96">
      <w:pPr>
        <w:pStyle w:val="ConsPlusNormal"/>
        <w:jc w:val="right"/>
      </w:pPr>
      <w:r>
        <w:t>Российской Федерации</w:t>
      </w:r>
    </w:p>
    <w:p w:rsidR="00743B96" w:rsidRDefault="00743B96">
      <w:pPr>
        <w:pStyle w:val="ConsPlusNormal"/>
        <w:jc w:val="right"/>
      </w:pPr>
      <w:r>
        <w:t>В.ПУТИН</w:t>
      </w:r>
    </w:p>
    <w:p w:rsidR="00743B96" w:rsidRDefault="00743B96">
      <w:pPr>
        <w:pStyle w:val="ConsPlusNormal"/>
      </w:pPr>
      <w:r>
        <w:t>Москва, Кремль</w:t>
      </w:r>
    </w:p>
    <w:p w:rsidR="00743B96" w:rsidRDefault="00743B96">
      <w:pPr>
        <w:pStyle w:val="ConsPlusNormal"/>
        <w:spacing w:before="220"/>
      </w:pPr>
      <w:r>
        <w:t>9 августа 2020 года</w:t>
      </w:r>
    </w:p>
    <w:p w:rsidR="00743B96" w:rsidRDefault="00743B96">
      <w:pPr>
        <w:pStyle w:val="ConsPlusNormal"/>
        <w:spacing w:before="220"/>
      </w:pPr>
      <w:r>
        <w:t>N 505</w:t>
      </w:r>
    </w:p>
    <w:p w:rsidR="00743B96" w:rsidRDefault="00743B96">
      <w:pPr>
        <w:pStyle w:val="ConsPlusNormal"/>
      </w:pPr>
    </w:p>
    <w:p w:rsidR="00743B96" w:rsidRDefault="00743B96">
      <w:pPr>
        <w:pStyle w:val="ConsPlusNormal"/>
      </w:pPr>
    </w:p>
    <w:p w:rsidR="00743B96" w:rsidRDefault="00743B96">
      <w:pPr>
        <w:pStyle w:val="ConsPlusNormal"/>
      </w:pPr>
    </w:p>
    <w:p w:rsidR="00743B96" w:rsidRDefault="00743B96">
      <w:pPr>
        <w:pStyle w:val="ConsPlusNormal"/>
      </w:pPr>
    </w:p>
    <w:p w:rsidR="00743B96" w:rsidRDefault="00743B96">
      <w:pPr>
        <w:pStyle w:val="ConsPlusNormal"/>
      </w:pPr>
    </w:p>
    <w:p w:rsidR="00743B96" w:rsidRDefault="00743B96">
      <w:pPr>
        <w:pStyle w:val="ConsPlusNormal"/>
        <w:jc w:val="right"/>
        <w:outlineLvl w:val="0"/>
      </w:pPr>
      <w:r>
        <w:t>Утверждена</w:t>
      </w:r>
    </w:p>
    <w:p w:rsidR="00743B96" w:rsidRDefault="00743B96">
      <w:pPr>
        <w:pStyle w:val="ConsPlusNormal"/>
        <w:jc w:val="right"/>
      </w:pPr>
      <w:r>
        <w:t>Указом Президента</w:t>
      </w:r>
    </w:p>
    <w:p w:rsidR="00743B96" w:rsidRDefault="00743B96">
      <w:pPr>
        <w:pStyle w:val="ConsPlusNormal"/>
        <w:jc w:val="right"/>
      </w:pPr>
      <w:r>
        <w:t>Российской Федерации</w:t>
      </w:r>
    </w:p>
    <w:p w:rsidR="00743B96" w:rsidRDefault="00743B96">
      <w:pPr>
        <w:pStyle w:val="ConsPlusNormal"/>
        <w:jc w:val="right"/>
      </w:pPr>
      <w:r>
        <w:t>от 9 августа 2020 г. N 505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Title"/>
        <w:jc w:val="center"/>
      </w:pPr>
      <w:bookmarkStart w:id="0" w:name="P36"/>
      <w:bookmarkEnd w:id="0"/>
      <w:r>
        <w:t>СТРАТЕГИЯ</w:t>
      </w:r>
    </w:p>
    <w:p w:rsidR="00743B96" w:rsidRDefault="00743B96">
      <w:pPr>
        <w:pStyle w:val="ConsPlusTitle"/>
        <w:jc w:val="center"/>
      </w:pPr>
      <w:r>
        <w:t>ГОСУДАРСТВЕННОЙ ПОЛИТИКИ РОССИЙСКОЙ ФЕДЕРАЦИИ В ОТНОШЕНИИ</w:t>
      </w:r>
    </w:p>
    <w:p w:rsidR="00743B96" w:rsidRDefault="00743B96">
      <w:pPr>
        <w:pStyle w:val="ConsPlusTitle"/>
        <w:jc w:val="center"/>
      </w:pPr>
      <w:r>
        <w:t>РОССИЙСКОГО КАЗАЧЕСТВА НА 2021 - 2030 ГОДЫ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Title"/>
        <w:jc w:val="center"/>
        <w:outlineLvl w:val="1"/>
      </w:pPr>
      <w:r>
        <w:t>I. Общие положения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Normal"/>
        <w:ind w:firstLine="540"/>
        <w:jc w:val="both"/>
      </w:pPr>
      <w:r>
        <w:t>1. Настоящая Стратегия является документом стратегического планирования в сфере национальной безопасности, определяющим цель, задачи и основные направления государственной политики Российской Федерации в отношении российского казачества, а также порядок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 с казачьими обществами и иными объединениями казаков при ее реализации.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определяющие правовое положение казачьих обществ, порядок привлечения казачества к несению государственной или иной службы, а также документы стратегического планирования в сферах социально-экономического развития, обеспечения национальной безопасности, региональной, внешней, миграционной и молодежной политики, образования, культуры и иные документы, определяющие принципы взаимодействия государственных органов с казачьими обществами и иными объединениями казаков.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3. Настоящая Стратегия учитывает опыт становления российского казачества, ядром которого является русский народ, а также многонациональный и многоконфессиональный состав этой исторически сложившейся общности, роль Русской православной церкви в формировании ее культурных особенностей.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4. В настоящей Стратегии используются следующие основные понятия: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российское казачество - исторически сложившаяся на основе взаимодействия русского народа и других народов России социокультурная общность, сформированная в ходе многовекового служения казаков Российскому государству и обществу;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казаки - представители казачества, в том числе члены казачьих обществ и иных объединений казаков;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казачьи общества - внесенные в государственный реестр казачьих обществ в Российской Федерации объединения граждан, добровольно принявших на себя в порядке, установленном законом, обязательства по несению государственной или иной службы, созданные в целях сохранения самобытности российского казачества, а также в иных целях, предусмотренных законодательством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иные объединения казаков - некоммерческие организации, созданные по инициативе граждан, объединившихся на основе общности интересов в целях удовлетворения духовных и иных нематериальных потребностей казаков.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5. Принципами государственной политики Российской Федерации в отношении российского казачества являются: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уважение исторических традиций российского казачества при выработке и реализации государственной политики в отношении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обеспечение соблюдения законных интересов казаков при принятии федеральными органами государственной власти, органами государственной власти субъектов Российской Федерации и органами местного самоуправления решений в отношении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привлечение казачьих обществ, иных объединений казаков к участию в разработке и реализации государственной политики Российской Федерации в отношении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lastRenderedPageBreak/>
        <w:t>г) привлечение членов казачьих обществ к несению государственной или иной службы, выполнению отдельных государственных задач в соответствии с законодательством Российской Федерации и договорными обязательствами казачьих обществ с обеспечением контроля со стороны соответствующих органов государственной власти и органов местного самоуправления.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Title"/>
        <w:jc w:val="center"/>
        <w:outlineLvl w:val="1"/>
      </w:pPr>
      <w:r>
        <w:t>II. Государственная политика Российской Федерации</w:t>
      </w:r>
    </w:p>
    <w:p w:rsidR="00743B96" w:rsidRDefault="00743B96">
      <w:pPr>
        <w:pStyle w:val="ConsPlusTitle"/>
        <w:jc w:val="center"/>
      </w:pPr>
      <w:r>
        <w:t>в отношении российского казачества на современном этапе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Normal"/>
        <w:ind w:firstLine="540"/>
        <w:jc w:val="both"/>
      </w:pPr>
      <w:r>
        <w:t>6. Возрождение российского казачества, начавшееся в конце XX века, придало импульс развитию государственной политики Российской Федерации в этой сфере в рамках комплексных мер, принимаемых органами государственной власти и органами местного самоуправления.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На территории Российской Федерации зарегистрированы и осуществляют деятельность около 3500 казачьих обществ и иных объединений казаков.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Казачьи общества и иные объединения казаков осуществляют деятельность во всех субъектах Российской Федерации.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7. Члены казачьих обществ проходят государственную или иную службу в установленном законодательством Российской Федерации порядке. Они обладают правом на ношение формы одежды и знаков различия, установленных Президентом Российской Федерации, холодного клинкового оружия с казачьей формой в предусмотренном законодательством Российской Федерации порядке.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8. Законодательно закреплен комплекс мер государственной поддержки деятельности казачьих обществ, в том числе предоставление казачьим обществам земельных участков, находящихся в государственной или муниципальной собственности, как на общих основаниях, так и путем заключения договора аренды без проведения торгов для осуществления на территории, определенной в соответствии с законодательством соответствующего субъекта Российской Федерации, сельскохозяйственного производства, рыбоводства и в иных связанных с сельскохозяйственным производством целях.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9. Реализация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развития государственной политики Российской Федерации в отношении российского казачества на период до 2020 года, утвержденной Президентом Российской Федерации 15 сентября 2012 г. N Пр-2789, способствовала укреплению ориентированного на государственные интересы курса развития российского казачества. За прошедший период достигнуты следующие результаты: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обеспечено совершенствование организации государственной и иной службы российского казачества, в том числе в части, касающейся привлечения членов казачьих обществ к участию в военно-патриотическом воспитании призывников, охране общественного порядка, обеспечении экологической и пожарной безопасности, защите государственной границы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обеспечено совершенствование системы взаимодействия государственных органов и органов местного самоуправления с российским казачеством, в том числе: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налажены координация совместной работы и организационное взаимодействие с казачьими обществами в рамках деятельности Совета при Президенте Российской Федерации по делам казачества, координационных и совещательных органов, образованных в федеральных округах и субъектах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совершенствуется деятельность уполномоченного Правительством Российской Федерации федерального органа исполнительной власти по взаимодействию с казачьими обществами;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поддержано учреждение Всероссийского казачьего общества, объединившего войсковые </w:t>
      </w:r>
      <w:r>
        <w:lastRenderedPageBreak/>
        <w:t>казачьи общества, входящие в государственный реестр казачьих обществ в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осуществлены меры поддержки экономического развития российского казачества, в том числе: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учтены вопросы социально-экономического развития российского казачества в ряде государственных программ Российской Федерации, государственных программ субъектов Российской Федерации и муниципальных программ;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поддержаны социально ориентированные инициативы казачьих обществ и иных объединений казаков путем предоставления им субсидий и грантов за счет средств федерального бюджета, бюджетов субъектов Российской Федерации и бюджетов муниципальных образований;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осуществлено совершенствование нормативных правовых актов, предусматривающих поддержку социально-экономического развития казачьих обществ;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налажена система содействия российскому казачеству в организации работы по военно-патриотическому, духовно-нравственному и физическому воспитанию молодежи, по сохранению и развитию казачьей культуры, в том числе: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созданы и функционируют казачьи молодежные организации, призванные консолидировать казачье молодежное движение;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созданы и функционируют казачьи кадетские корпуса, осуществляет работу Центр военно-патриотического воспитания и подготовки казачьей молодежи к военной службе;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созданы и функционируют казачьи фольклорные коллективы, центры казачьей культуры, создается центральный музей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проводятся крупные ежегодные мероприятия, среди которых смотр-конкурс на звание "Лучший казачий кадетский корпус", Всероссийский слет казачьей молодежи "Готов к труду и обороне", Всероссийская спартакиада допризывной казачьей молодежи, Всероссийская военно-спортивная игра "Казачий сполох", Всероссийский фольклорный конкурс "Казачий круг" и другие;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создана система государственной поддержки развития международного сотрудничества российского казачества, в том числе: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оказано содействие в проведении крупных международных казачьих мероприятий;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оказано содействие войсковым казачьим обществам в возвращении в Российскую Федерацию казачьих регалий и исторических ценностей, а также в поисковой, просветительской и военно-мемориальной работе за рубежом;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организовано геральдическое обеспечение деятельности российского казачества, введены для всех войсковых казачьих обществ новые геральдические знаки, образцы формы одежды и знаков различия по чинам членов казачьих обществ, разработана и утверждена символика Всероссийского казачьего общества.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Title"/>
        <w:jc w:val="center"/>
        <w:outlineLvl w:val="1"/>
      </w:pPr>
      <w:r>
        <w:t>III. Цель, приоритеты, задачи и основные</w:t>
      </w:r>
    </w:p>
    <w:p w:rsidR="00743B96" w:rsidRDefault="00743B96">
      <w:pPr>
        <w:pStyle w:val="ConsPlusTitle"/>
        <w:jc w:val="center"/>
      </w:pPr>
      <w:r>
        <w:t>направления государственной политики Российской Федерации</w:t>
      </w:r>
    </w:p>
    <w:p w:rsidR="00743B96" w:rsidRDefault="00743B96">
      <w:pPr>
        <w:pStyle w:val="ConsPlusTitle"/>
        <w:jc w:val="center"/>
      </w:pPr>
      <w:r>
        <w:t>в отношении российского казачества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Normal"/>
        <w:ind w:firstLine="540"/>
        <w:jc w:val="both"/>
      </w:pPr>
      <w:r>
        <w:t xml:space="preserve">10. Целью государственной политики Российской Федерации в отношении российского казачества является содействие консолидации российского казачества, сохранению, развитию, использованию духовного наследия и культуры казачества для обеспечения реализации его потребности в служении обществу посредством формирования эффективного механизма </w:t>
      </w:r>
      <w:r>
        <w:lastRenderedPageBreak/>
        <w:t>привлечения казачества к несению государственной или иной службы, участию в решении на основе общественно-государственного партнерства государственных задач в интересах национальной безопасности.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11. Приоритетами государственной политики Российской Федерации в отношении российского казачества являются: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обеспечение участия российского казачества в мероприятиях, направленных на укрепление обороны страны, государственной и общественной безопасности;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привлечение российского казачества к участию 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привлечение российского казачества к участию в мероприятиях, направленных на развитие связей с соотечественниками, проживающими за рубежом, а также на содействие их добровольному переселению в Российскую Федерацию;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обеспечение участия российского казачества в решении государственных задач в области гражданской и территориальной обороны, защиты населения и территорий от чрезвычайных ситуаций, ликвидации последствий чрезвычайных ситуаций и стихийных бедствий, пожарной безопасности;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привлечение российского казачества к участию в деятельности, направленной на сохранение и восстановление природной среды, обеспечение качества окружающей среды, необходимой для безопасной жизнедеятельности человека.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12. Задачами государственной политики Российской Федерации в отношении российского казачества являются: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совершенствование механизма привлечения членов казачьих обществ к несению государственной или иной службы;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поддержка взаимодействия между казачьими обществами и иными объединениями казаков;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казачества; обеспечение участия российского казачества в реализации государственной молодежной политики;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содействие сохранению и развитию культуры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поддержка социально-экономического развития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поддержка международного сотрудничества российского казачества, развития международных контактов российского казачества с казаками - соотечественниками, проживающими за рубежом;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ж)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обществами, расширение информирования общественности о деятельности российского казачества.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13. Реализация задачи по совершенствованию механизма привлечения членов казачьих обществ к несению государственной или иной службы осуществляется по следующим основным </w:t>
      </w:r>
      <w:r>
        <w:lastRenderedPageBreak/>
        <w:t>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совершенствование правовых основ привлечения российского казачества к несению государственной или иной службы, в том числе разработка правовых механизмов привлечения российского казачества к участию в территориальной обороне;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совершенствование законодательства в целях расширения полномочий казачьих обществ, внесенных в государственный реестр казачьих обществ в Российской Федерации, по участию в обеспечении охраны объектов различных форм собственности;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совершенствование порядка ведения государственного реестра казачьих обществ в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обеспечение участия членов войсковых казачьих обществ, пребывающих в запасе, в ежегодных военных сборах;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охране общественного порядка;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защите государственной границы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мероприятиях по гражданской обороне;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мероприятиях по предупреждению и ликвидации чрезвычайных ситуаций и ликвидации последствий стихийных бедствий;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 охране объектов культурного наследия;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ж) обеспечение использования потенциала российского казачества в деятельности по профилактике немедицинского потребления наркотических средств и психотропных веществ;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з) 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формирование единой системы управления кадрами казачьих обществ, включая создание </w:t>
      </w:r>
      <w:r>
        <w:lastRenderedPageBreak/>
        <w:t>кадрового резерва;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содействие развитию системы подготовки кадров для казачьих обществ;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обеспечение усиления мер противодействия коррупции в казачьих обществах, иных объединениях казаков;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совершенствование порядка утверждения атаманов, присвоения чинов;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казачьего общества.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14. Реализация задачи по совершенствованию механизма взаимодействия между казачьими обществами и иными объединениями казаков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обеспечение разработки и принятия федерального закона, регулирующего правовое положение казачьих обществ и иных объединений казаков, а также иные вопросы, касающиеся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содействие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российского казачества, устройством в семьи казаков детей-сирот и детей, оставшихся без попечения родителей;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содействие проведению совместных мероприятий казачьих обществ и иных объединений казаков, направленных на реализацию образовательных программ и проектов по сохранению и развитию культуры и традиций российского казачества.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15. Реализация задачи по содействию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обеспечению участия российского казачества в реализации государственной молодежной политики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поддержка деятельности образовательных организаций, реализующих образовательные программы с учетом культурно-исторических традиций и ценностей российского казачества, в том числе деятельности по подготовке педагогических кадров;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содействие созданию сети центров (сообществ, объединений) поддержки добровольчества (</w:t>
      </w:r>
      <w:proofErr w:type="spellStart"/>
      <w:r>
        <w:t>волонтерства</w:t>
      </w:r>
      <w:proofErr w:type="spellEnd"/>
      <w:r>
        <w:t>), казачьих духовно-просветительских центров на базе казачьих обществ, иных объединений казаков и религиозных организаций Русской православной церкви;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совершенствование имеющихся и издание новых учебных и учебно-методических пособий по истории и культуре российского казачества, духовно-нравственному воспитанию для общеобразовательных организаций - казачьих кадетских корпусов с учетом задачи по формированию общероссийской гражданской идентичности;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lastRenderedPageBreak/>
        <w:t>г) содействие российскому казачеству в проведении патриотических акций, в том числе связанных с обустройством памятников и мест захоронения воинов, погибших при защите Отечества;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ж) 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з) содействие популяризации исторических мест, связанных с подвигами казаков - защитников Отечества, разработке туристских маршрутов по этим местам в целях сохранения исторической памяти и патриотического воспитания граждан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и) привлечение казачьих обществ и иных объединений казаков к участию в конкурсах на предоставление грантов Президента Российской Федерации и иных грантов, предоставляемых из средств федерального бюджета, бюджетов субъектов Российской Федерации и бюджетов муниципальных образований, в целях поддержки социально ориентированных инициатив казачьих обществ и иных объединений казаков;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к) содействие личностному и профессиональному развитию руководителей и лидеров казачьих молодежных организаций;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л) содействие казачьим молодежным центрам, созданным в местах компактного проживания членов казачьих обществ и иных объединений казаков, в осуществлении ими деятельности, направленной на развитие казачьих военно-патриотических и военно-спортивных лагерей, а также деятельности по военно-патриотическому воспитанию казачьей молодежи на основе культурно-исторических традиций и ценностей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м) проведение мероприятий, направленных на повышение престижа государственной службы среди казачьей молодежи;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н) содействие координации работы по военно-патриотическому, духовно-нравственному воспитанию казачьей молодежи, сохранению, развитию казачьих традиций и культуры, развитию физической культуры и пропаганде здорового образа жизни среди казачьей молодежи;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о) привлечение казачьих молодежных организаций к участию в мероприятиях по реализации государственной молодежной политики Российской Федерации.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16. Реализация задачи по содействию сохранению и развитию культуры российского казачества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оказание организационной, информационной, консультативной, методической поддержки деятельности казачьих обществ и иных объединений казаков в сфере культуры;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содействие созданию сети учреждений, осуществляющих деятельность по хранению предметов истории и культуры российского казачества, в том числе центрального музея российского казачества в г. Москве;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lastRenderedPageBreak/>
        <w:t>в) 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мероприятий;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содействие расширению участия творческих казачьих коллективов в мероприятиях, направленных на укрепление единства российской нации, сохранение и развитие культуры народов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развитие центров казачьей культуры;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содействие привлечению творческих казачьих коллективов - носителей самобытной казачьей культуры к участию в современных культурно-просветительских проектах, информационно-агитационных акциях и других мероприятиях.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17. Реализация задачи по поддержке социально-экономического развития российского казачества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привлечение казачьих обществ и иных объединений казаков к реализации государственных и муниципальных программ и проектов;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совершенствование правового регулирования механизма государственной поддержки экономической деятельности казачьих обществ в связи с привлечением членов казачьих обществ к несению государственной или иной службы, выполнению отдельных государственных задач;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в) обеспечение разработки мер экономического стимулирования переселения членов казачьих обществ и иных объединений казаков в </w:t>
      </w:r>
      <w:proofErr w:type="spellStart"/>
      <w:r>
        <w:t>трудонедостаточные</w:t>
      </w:r>
      <w:proofErr w:type="spellEnd"/>
      <w:r>
        <w:t xml:space="preserve"> приграничные районы, а также мер, направленных на предотвращение их оттока из таких районов, создание условий для их трудоустройства и несения государственной или иной службы;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оказание казачьим обществам и иным объединениям казаков информационной, научной и методической поддержки по вопросам развития экономических условий их деятельности, в том числе деятельности в сфере сельскохозяйственного производства, а также в других сферах хозяйственной и иной приносящей доход деятельности;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поддержка деятельности Всероссийского казачьего общества по разработке и реализации проектов социально-экономического развития казачьих обществ и по обеспечению участия казачьих обществ в реализации государственных, муниципальных программ и приоритетных национальных проектов;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ж) обеспечение совершенствования механизмов и инструментов реализации государственной политики, направленных на государственную поддержку социально-экономического развития казачьих обществ;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з) содействие экономической активности казачьих обществ и иных объединений казаков в рамках действующих инструментов государственной поддержки, используемых федеральными органами исполнительной власти и институтами развития предпринимательства;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и) обеспечение совершенствования законодательства в части, касающейся предоставления земельных участков, находящихся в государственной или муниципальной собственности, в аренду на торгах и без проведения торгов для осуществления сельскохозяйственного производства казачьими обществами.</w:t>
      </w:r>
    </w:p>
    <w:p w:rsidR="00743B96" w:rsidRDefault="00743B96">
      <w:pPr>
        <w:pStyle w:val="ConsPlusNormal"/>
        <w:spacing w:before="220"/>
        <w:ind w:firstLine="540"/>
        <w:jc w:val="both"/>
      </w:pPr>
      <w:bookmarkStart w:id="1" w:name="_GoBack"/>
      <w:r>
        <w:lastRenderedPageBreak/>
        <w:t>18. Реализация задачи по поддержке международного сотрудничества российского казачества, развития международных контактов российского казачества с казаками-соотечественниками, проживающими за рубежом,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привлечение российского казачества к участию в мероприятиях в сфере приграничного сотрудничества, а также в мероприятиях, направленных на развитие межкультурных обменов с сопредельными государствами;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поддержка расширения контактов и сотрудничества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государств, содействие консолидации казачьих обществ, иных объединений казаков в России и за рубежом;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обеспечение привлечения казачьих обществ и иных объединений казаков к участию в реализации программ по поддержке соотечественников, проживающих за рубежом, включая вопросы добровольного переселения соотечественников в Российскую Федерацию;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укрепление взаимодействия российского казачества с дипломатическими представительствами Российской Федерации в зарубежных странах, а также с российскими центрами науки и культуры;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д) содействие возвращению в Российскую Федерацию исторических ценностей и реликвий казачества, оказание казачьим обществам поддержки в поисковой и военно-мемориальной работе за рубежом;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е) содействие молодежным, культурным и информационным обменам, реализации международных проектов, в том числе организации международных детских казачьих лагерей, участию зарубежных спортивных команд и казачьих фольклорных коллективов в проводимых в Российской Федерации мероприятиях, направлению за рубеж российских казачьих фольклорных коллективов;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ж) оказание содействия казачьей молодежи государств - участников Содружества Независимых Государств в получении образования в Российской Федерации.</w:t>
      </w:r>
    </w:p>
    <w:bookmarkEnd w:id="1"/>
    <w:p w:rsidR="00743B96" w:rsidRDefault="00743B96">
      <w:pPr>
        <w:pStyle w:val="ConsPlusNormal"/>
        <w:spacing w:before="220"/>
        <w:ind w:firstLine="540"/>
        <w:jc w:val="both"/>
      </w:pPr>
      <w:r>
        <w:t>19. Реализация задачи по совершенствованию информационного обеспечения взаимодействия органов государственной власти и органов местного самоуправления с казачьими обществами осуществляется по следующим основным направлениям: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поддержка инициатив по популяризации в молодежной среде с использованием возможностей новых информационных технологий деятельности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б) обеспечение разработки механизмов поддержки межведомственных информационных проектов, направленных на ознакомление общества с деятельностью российского казачества (экспозиции, выставки, создание электронной библиотеки казачества и другие подобные проекты), а также на развитие </w:t>
      </w:r>
      <w:proofErr w:type="spellStart"/>
      <w:r>
        <w:t>этнотуризма</w:t>
      </w:r>
      <w:proofErr w:type="spellEnd"/>
      <w:r>
        <w:t>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поддержка развития информационных ресурсов, содержащих сведения о казачьих обществах и иных объединениях казаков, а также об их деятельности;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содействие популяризации деятельности российского казачества, формированию благоприятного отношения к этой деятельности в обществе;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д) обеспечение проведения на постоянной основе социологических и научных исследований, осуществления иной информационно-аналитической деятельности по вопросам развития российского казачества, взаимодействия при осуществлении информационно-аналитической </w:t>
      </w:r>
      <w:r>
        <w:lastRenderedPageBreak/>
        <w:t>деятельности со Всероссийским казачьим обществом.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20. При реализации государственной политики Российской Федерации в отношении российского казачества отмечаются отдельные проблемы, среди них основные: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сохраняющаяся разобщенность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вовлечение представителей российского казачества в политические и межнациональные конфликты;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радикализация</w:t>
      </w:r>
      <w:proofErr w:type="spellEnd"/>
      <w:r>
        <w:t xml:space="preserve"> части российского казачества;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г) сохраняющиеся угрозы распространения негативных культурно-бытовых стереотипов в отношении российского казачества.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21. В целях решения этих проблем настоящая Стратегия предусматривает два сценария развития российского казачества - целевой и максимальный.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Целевой сценарий ориентирован на реализацию существующих направлений государственной политики Российской Федерации в отношении российского казачества при условии сохранения стабильности и консолидации российского казачества.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Максимальный сценарий предполагает реализацию дополнительного комплекса мер в отношении российского казачества, развитие форм государственной поддержки и стимулирование несения членами казачьих обществ государственной или иной службы.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Title"/>
        <w:jc w:val="center"/>
        <w:outlineLvl w:val="1"/>
      </w:pPr>
      <w:r>
        <w:t>IV. Механизмы и инструменты реализации</w:t>
      </w:r>
    </w:p>
    <w:p w:rsidR="00743B96" w:rsidRDefault="00743B96">
      <w:pPr>
        <w:pStyle w:val="ConsPlusTitle"/>
        <w:jc w:val="center"/>
      </w:pPr>
      <w:r>
        <w:t>государственной политики Российской Федерации в отношении</w:t>
      </w:r>
    </w:p>
    <w:p w:rsidR="00743B96" w:rsidRDefault="00743B96">
      <w:pPr>
        <w:pStyle w:val="ConsPlusTitle"/>
        <w:jc w:val="center"/>
      </w:pPr>
      <w:r>
        <w:t>российского казачества</w:t>
      </w:r>
    </w:p>
    <w:p w:rsidR="00743B96" w:rsidRDefault="00743B96">
      <w:pPr>
        <w:pStyle w:val="ConsPlusNormal"/>
        <w:jc w:val="center"/>
      </w:pPr>
    </w:p>
    <w:p w:rsidR="00743B96" w:rsidRDefault="00743B96">
      <w:pPr>
        <w:pStyle w:val="ConsPlusNormal"/>
        <w:ind w:firstLine="540"/>
        <w:jc w:val="both"/>
      </w:pPr>
      <w:r>
        <w:t>22. В целях содействия реализации государственной политики Российской Федерации в отношении российского казачества осуществляет работу Совет при Президенте Российской Федерации по делам казачества.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Совет при Президенте Российской Федерации по делам казачества ежегодно информирует Президента Российской Федерации о ходе реализации настоящей Стратегии.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23. При Правительстве Российской Федерации действует межведомственная комиссия по реализации настоящей Стратегии, координирующая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 и Всероссийского казачьего общества.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Межведомственная комиссия ежегодно проводит оценку эффективности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настоящей Стратегии.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24. Реализация настоящей Стратегии осуществляется Правительством Российской Федерации, уполномоченным Правительством Российской Федерации федеральным органом исполнительной власти по взаимодействию с казачьими обществами, федеральными органами исполнительной власти, органами государственной власти субъектов Российской Федерации и органами местного самоуправления в соответствии с их компетенцией при участии Всероссийского казачьего общества и иных организаций.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 xml:space="preserve">В целях обеспечения общественного контроля за ходом реализации настоящей Стратегии федеральными органами исполнительной власти, органами исполнительной власти субъектов </w:t>
      </w:r>
      <w:r>
        <w:lastRenderedPageBreak/>
        <w:t>Российской Федерации и органами местного самоуправления создаются координационные и совещательные органы с участием представителей казачьих обществ и иных объединений казаков.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25. Реализация настоящей Стратегии осуществляется поэтапно на основе утверждаемого в установленном порядке плана мероприятий, разрабатываемого уполномоченным Правительством Российской Федерации федеральным органом исполнительной власти по взаимодействию с казачьими обществами с учетом предложений федеральных органов исполнительной власти, органов исполнительной власти субъектов Российской Федерации, органов местного самоуправления, при участии Всероссийского казачьего общества, а также с учетом предложений религиозных и иных организаций.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26. Положения настоящей Стратегии и план ее реализации являются основой для разработки и корректировки соответствующих государственных, ведомственных, региональных и муниципальных программ и планов.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27. Инструментами реализации настоящей Стратегии являются: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а) законодательство Российской Федерации;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б) документы стратегического планирования, разработанные на федеральном, региональном и муниципальном уровнях;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в) государственные программы Российской Федерации, государственные программы субъектов Российской Федерации и муниципальные программы.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28. Реализация настоящей Стратегии осуществляется за счет средств бюджетов бюджетной системы Российской Федерации, средств общественных организаций и иных организаций независимо от формы собственности.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Title"/>
        <w:jc w:val="center"/>
        <w:outlineLvl w:val="1"/>
      </w:pPr>
      <w:r>
        <w:t>V. Целевые показатели и этапы реализации</w:t>
      </w:r>
    </w:p>
    <w:p w:rsidR="00743B96" w:rsidRDefault="00743B96">
      <w:pPr>
        <w:pStyle w:val="ConsPlusTitle"/>
        <w:jc w:val="center"/>
      </w:pPr>
      <w:r>
        <w:t>настоящей Стратегии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Normal"/>
        <w:ind w:firstLine="540"/>
        <w:jc w:val="both"/>
      </w:pPr>
      <w:r>
        <w:t>29. Правительство Российской Федерации утверждает перечень целевых показателей реализации настоящей Стратегии и значения этих показателей, отражающие оценку результатов реализации настоящей Стратегии.</w:t>
      </w:r>
    </w:p>
    <w:p w:rsidR="00743B96" w:rsidRDefault="00743B96">
      <w:pPr>
        <w:pStyle w:val="ConsPlusNormal"/>
        <w:spacing w:before="220"/>
        <w:ind w:firstLine="540"/>
        <w:jc w:val="both"/>
      </w:pPr>
      <w:r>
        <w:t>30. Этапы реализации настоящей Стратегии определяются планом мероприятий, разрабатываемым уполномоченным Правительством Российской Федерации федеральным органом исполнительной власти по взаимодействию с казачьими обществами и утверждаемым Правительством Российской Федерации.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Title"/>
        <w:jc w:val="center"/>
        <w:outlineLvl w:val="1"/>
      </w:pPr>
      <w:r>
        <w:t>VI. Заключительные положения</w:t>
      </w:r>
    </w:p>
    <w:p w:rsidR="00743B96" w:rsidRDefault="00743B96">
      <w:pPr>
        <w:pStyle w:val="ConsPlusNormal"/>
        <w:ind w:firstLine="540"/>
        <w:jc w:val="both"/>
      </w:pPr>
    </w:p>
    <w:p w:rsidR="00743B96" w:rsidRDefault="00743B96">
      <w:pPr>
        <w:pStyle w:val="ConsPlusNormal"/>
        <w:ind w:firstLine="540"/>
        <w:jc w:val="both"/>
      </w:pPr>
      <w:r>
        <w:t>31. Корректировка настоящей Стратегии может осуществляться с учетом результатов реализации настоящей Стратегии и изменения стратегических подходов Российской Федерации к обеспечению национальной безопасности.</w:t>
      </w:r>
    </w:p>
    <w:p w:rsidR="00743B96" w:rsidRDefault="00743B96">
      <w:pPr>
        <w:pStyle w:val="ConsPlusNormal"/>
        <w:jc w:val="both"/>
      </w:pPr>
    </w:p>
    <w:p w:rsidR="00743B96" w:rsidRDefault="00743B96">
      <w:pPr>
        <w:pStyle w:val="ConsPlusNormal"/>
        <w:jc w:val="both"/>
      </w:pPr>
    </w:p>
    <w:p w:rsidR="00743B96" w:rsidRDefault="00743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A5A" w:rsidRDefault="004956E3"/>
    <w:sectPr w:rsidR="00EB2A5A" w:rsidSect="008E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96"/>
    <w:rsid w:val="004956E3"/>
    <w:rsid w:val="00743B96"/>
    <w:rsid w:val="00BB781C"/>
    <w:rsid w:val="00C20C04"/>
    <w:rsid w:val="00CC546C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D3D7-1684-494F-A6C0-2675B0B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9AB34A5EDECB223C7215D54DA7B63845609DCEE5C44233802882F350219FD1FFAF1D1BD7FEEDA4CC26CB4A4YDn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9AB34A5EDECB223C7215D54DA7B63875A0BD1E70C13216957862A3D5243ED1BB3A5D5A276F2C44CDC6CYBn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9AB34A5EDECB223C7215D54DA7B6384570DD2E45844233802882F350219FD0DFAA9DDBC76F0DB4FD73AE5E28BCC752AA9E490410F6A28YFn1B" TargetMode="External"/><Relationship Id="rId5" Type="http://schemas.openxmlformats.org/officeDocument/2006/relationships/hyperlink" Target="consultantplus://offline/ref=BFF9AB34A5EDECB223C7215D54DA7B63865404D4EA5844233802882F350219FD0DFAA9DDBC76F0DA47D73AE5E28BCC752AA9E490410F6A28YFn1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5084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1</cp:revision>
  <dcterms:created xsi:type="dcterms:W3CDTF">2021-02-19T01:39:00Z</dcterms:created>
  <dcterms:modified xsi:type="dcterms:W3CDTF">2021-02-19T06:40:00Z</dcterms:modified>
</cp:coreProperties>
</file>