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Style_2"/>
        <w:tblW w:w="14918" w:type="dxa"/>
        <w:jc w:val="left"/>
        <w:tblInd w:w="108" w:type="dxa"/>
        <w:tblLayout w:type="fixed"/>
        <w:tblCellMar>
          <w:top w:w="0" w:type="dxa"/>
          <w:left w:w="108" w:type="dxa"/>
          <w:bottom w:w="0" w:type="dxa"/>
          <w:right w:w="108" w:type="dxa"/>
        </w:tblCellMar>
      </w:tblPr>
      <w:tblGrid>
        <w:gridCol w:w="10239"/>
        <w:gridCol w:w="4678"/>
      </w:tblGrid>
      <w:tr>
        <w:trPr/>
        <w:tc>
          <w:tcPr>
            <w:tcW w:w="10239" w:type="dxa"/>
            <w:tcBorders/>
            <w:shd w:fill="auto" w:val="clear"/>
          </w:tcPr>
          <w:p>
            <w:pPr>
              <w:pStyle w:val="Normal"/>
              <w:widowControl w:val="false"/>
              <w:tabs>
                <w:tab w:val="clear" w:pos="708"/>
                <w:tab w:val="left" w:pos="1418" w:leader="none"/>
              </w:tabs>
              <w:suppressAutoHyphens w:val="true"/>
              <w:spacing w:lineRule="auto" w:line="240" w:before="0" w:after="0"/>
              <w:ind w:hanging="0" w:left="0" w:right="0"/>
              <w:jc w:val="both"/>
              <w:rPr>
                <w:rFonts w:ascii="Times New Roman" w:hAnsi="Times New Roman"/>
                <w:color w:val="000000"/>
                <w:sz w:val="24"/>
              </w:rPr>
            </w:pPr>
            <w:r>
              <w:rPr>
                <w:rFonts w:ascii="Times New Roman" w:hAnsi="Times New Roman"/>
                <w:color w:val="000000"/>
                <w:sz w:val="24"/>
              </w:rPr>
            </w:r>
          </w:p>
        </w:tc>
        <w:tc>
          <w:tcPr>
            <w:tcW w:w="4678" w:type="dxa"/>
            <w:tcBorders/>
            <w:shd w:fill="auto" w:val="clear"/>
          </w:tcPr>
          <w:p>
            <w:pPr>
              <w:pStyle w:val="Normal"/>
              <w:widowControl w:val="false"/>
              <w:suppressAutoHyphens w:val="true"/>
              <w:spacing w:lineRule="auto" w:line="240" w:before="0" w:after="0"/>
              <w:ind w:hanging="0" w:left="0" w:right="0"/>
              <w:jc w:val="both"/>
              <w:rPr>
                <w:rFonts w:ascii="Times New Roman" w:hAnsi="Times New Roman"/>
                <w:color w:val="000000"/>
                <w:sz w:val="24"/>
              </w:rPr>
            </w:pPr>
            <w:r>
              <w:rPr>
                <w:rFonts w:ascii="Times New Roman" w:hAnsi="Times New Roman"/>
                <w:color w:val="000000"/>
                <w:spacing w:val="0"/>
                <w:kern w:val="0"/>
                <w:sz w:val="24"/>
                <w:szCs w:val="20"/>
              </w:rPr>
              <w:t xml:space="preserve">«Приложение к распоряжению </w:t>
            </w:r>
          </w:p>
          <w:p>
            <w:pPr>
              <w:pStyle w:val="Normal"/>
              <w:widowControl w:val="false"/>
              <w:suppressAutoHyphens w:val="true"/>
              <w:spacing w:lineRule="auto" w:line="240" w:before="0" w:after="0"/>
              <w:ind w:hanging="0" w:left="0" w:right="0"/>
              <w:jc w:val="both"/>
              <w:rPr>
                <w:rFonts w:ascii="Times New Roman" w:hAnsi="Times New Roman"/>
                <w:color w:val="000000"/>
                <w:sz w:val="24"/>
              </w:rPr>
            </w:pPr>
            <w:r>
              <w:rPr>
                <w:rFonts w:ascii="Times New Roman" w:hAnsi="Times New Roman"/>
                <w:color w:val="000000"/>
                <w:spacing w:val="0"/>
                <w:kern w:val="0"/>
                <w:sz w:val="24"/>
                <w:szCs w:val="20"/>
              </w:rPr>
              <w:t>Правительства Камчатского края</w:t>
            </w:r>
          </w:p>
          <w:p>
            <w:pPr>
              <w:pStyle w:val="Normal"/>
              <w:widowControl w:val="false"/>
              <w:suppressAutoHyphens w:val="true"/>
              <w:spacing w:lineRule="auto" w:line="240" w:before="0" w:after="0"/>
              <w:ind w:hanging="0" w:left="0" w:right="0"/>
              <w:jc w:val="both"/>
              <w:rPr>
                <w:rFonts w:ascii="Times New Roman" w:hAnsi="Times New Roman"/>
                <w:color w:val="000000"/>
                <w:sz w:val="24"/>
              </w:rPr>
            </w:pPr>
            <w:r>
              <w:rPr>
                <w:rFonts w:ascii="Times New Roman" w:hAnsi="Times New Roman"/>
                <w:color w:val="000000"/>
                <w:spacing w:val="0"/>
                <w:kern w:val="0"/>
                <w:sz w:val="24"/>
                <w:szCs w:val="20"/>
              </w:rPr>
              <w:t>от 07.11.2016 № 527-РП»</w:t>
            </w:r>
          </w:p>
        </w:tc>
      </w:tr>
    </w:tbl>
    <w:p>
      <w:pPr>
        <w:pStyle w:val="Normal"/>
        <w:tabs>
          <w:tab w:val="clear" w:pos="708"/>
          <w:tab w:val="left" w:pos="1418" w:leader="none"/>
        </w:tabs>
        <w:spacing w:lineRule="auto" w:line="240" w:before="0" w:after="0"/>
        <w:jc w:val="center"/>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center"/>
        <w:rPr/>
      </w:pPr>
      <w:r>
        <w:rPr>
          <w:rFonts w:ascii="Times New Roman" w:hAnsi="Times New Roman"/>
          <w:color w:val="000000"/>
          <w:sz w:val="24"/>
        </w:rPr>
        <w:t xml:space="preserve">ОТЧЕТ за 2023 год по исполнению Плана </w:t>
      </w:r>
    </w:p>
    <w:p>
      <w:pPr>
        <w:pStyle w:val="Normal"/>
        <w:spacing w:lineRule="auto" w:line="240" w:before="0" w:after="0"/>
        <w:jc w:val="center"/>
        <w:rPr/>
      </w:pPr>
      <w:r>
        <w:rPr>
          <w:rFonts w:ascii="Times New Roman" w:hAnsi="Times New Roman"/>
          <w:color w:val="000000"/>
          <w:sz w:val="24"/>
        </w:rPr>
        <w:t>мероприятий по реализации в Камчатском крае в 2016–2025 годах Концепции устойчивого развития коренных малочисленных народов Севера, Сибири и Дальнего Востока Российской Федерации</w:t>
      </w:r>
    </w:p>
    <w:p>
      <w:pPr>
        <w:pStyle w:val="Normal"/>
        <w:spacing w:lineRule="auto" w:line="240" w:before="0" w:after="0"/>
        <w:rPr>
          <w:rFonts w:ascii="Times New Roman" w:hAnsi="Times New Roman"/>
          <w:color w:val="000000"/>
          <w:sz w:val="24"/>
        </w:rPr>
      </w:pPr>
      <w:r>
        <w:rPr>
          <w:rFonts w:ascii="Times New Roman" w:hAnsi="Times New Roman"/>
          <w:color w:val="000000"/>
          <w:sz w:val="24"/>
        </w:rPr>
      </w:r>
    </w:p>
    <w:p>
      <w:pPr>
        <w:pStyle w:val="Normal"/>
        <w:spacing w:lineRule="auto" w:line="240" w:before="0" w:after="0"/>
        <w:rPr>
          <w:rFonts w:ascii="Times New Roman" w:hAnsi="Times New Roman"/>
          <w:color w:val="000000"/>
          <w:sz w:val="4"/>
          <w:szCs w:val="4"/>
        </w:rPr>
      </w:pPr>
      <w:r>
        <w:rPr>
          <w:rFonts w:ascii="Times New Roman" w:hAnsi="Times New Roman"/>
          <w:color w:val="000000"/>
          <w:sz w:val="4"/>
          <w:szCs w:val="4"/>
        </w:rPr>
      </w:r>
    </w:p>
    <w:tbl>
      <w:tblPr>
        <w:tblStyle w:val="Style_2"/>
        <w:tblW w:w="15108" w:type="dxa"/>
        <w:jc w:val="left"/>
        <w:tblInd w:w="38" w:type="dxa"/>
        <w:tblLayout w:type="fixed"/>
        <w:tblCellMar>
          <w:top w:w="0" w:type="dxa"/>
          <w:left w:w="40" w:type="dxa"/>
          <w:bottom w:w="0" w:type="dxa"/>
          <w:right w:w="40" w:type="dxa"/>
        </w:tblCellMar>
      </w:tblPr>
      <w:tblGrid>
        <w:gridCol w:w="1002"/>
        <w:gridCol w:w="4257"/>
        <w:gridCol w:w="1127"/>
        <w:gridCol w:w="8603"/>
        <w:gridCol w:w="119"/>
      </w:tblGrid>
      <w:tr>
        <w:trPr>
          <w:tblHeader w:val="true"/>
          <w:trHeight w:val="263"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38" w:right="0"/>
              <w:jc w:val="center"/>
              <w:rPr>
                <w:sz w:val="22"/>
              </w:rPr>
            </w:pPr>
            <w:r>
              <w:rPr>
                <w:rFonts w:ascii="Times New Roman" w:hAnsi="Times New Roman"/>
                <w:color w:val="000000"/>
                <w:spacing w:val="0"/>
                <w:kern w:val="0"/>
                <w:sz w:val="24"/>
                <w:szCs w:val="20"/>
              </w:rPr>
              <w:t>№</w:t>
            </w:r>
          </w:p>
          <w:p>
            <w:pPr>
              <w:pStyle w:val="Normal"/>
              <w:widowControl w:val="false"/>
              <w:suppressAutoHyphens w:val="true"/>
              <w:spacing w:lineRule="auto" w:line="240" w:before="0" w:after="0"/>
              <w:ind w:hanging="0" w:left="-38" w:right="0"/>
              <w:jc w:val="center"/>
              <w:rPr>
                <w:sz w:val="22"/>
              </w:rPr>
            </w:pPr>
            <w:r>
              <w:rPr>
                <w:rFonts w:ascii="Times New Roman" w:hAnsi="Times New Roman"/>
                <w:color w:val="000000"/>
                <w:spacing w:val="0"/>
                <w:kern w:val="0"/>
                <w:sz w:val="24"/>
                <w:szCs w:val="20"/>
              </w:rPr>
              <w:t>п/п</w:t>
            </w:r>
          </w:p>
        </w:tc>
        <w:tc>
          <w:tcPr>
            <w:tcW w:w="4257" w:type="dxa"/>
            <w:tcBorders>
              <w:top w:val="single" w:sz="4" w:space="0" w:color="000000"/>
              <w:left w:val="single" w:sz="4" w:space="0" w:color="000000"/>
              <w:bottom w:val="single" w:sz="4" w:space="0" w:color="000000"/>
            </w:tcBorders>
            <w:shd w:fill="FFFFFF" w:val="clear"/>
          </w:tcPr>
          <w:p>
            <w:pPr>
              <w:pStyle w:val="Normal"/>
              <w:widowControl w:val="false"/>
              <w:suppressAutoHyphens w:val="true"/>
              <w:spacing w:lineRule="auto" w:line="240" w:before="0" w:after="0"/>
              <w:ind w:hanging="0" w:left="-395" w:right="0"/>
              <w:jc w:val="center"/>
              <w:rPr>
                <w:sz w:val="22"/>
              </w:rPr>
            </w:pPr>
            <w:r>
              <w:rPr>
                <w:rFonts w:ascii="Times New Roman" w:hAnsi="Times New Roman"/>
                <w:color w:val="000000"/>
                <w:spacing w:val="0"/>
                <w:kern w:val="0"/>
                <w:sz w:val="24"/>
                <w:szCs w:val="20"/>
              </w:rPr>
              <w:t>Наименование мероприятия</w:t>
            </w:r>
          </w:p>
        </w:tc>
        <w:tc>
          <w:tcPr>
            <w:tcW w:w="1127" w:type="dxa"/>
            <w:tcBorders>
              <w:top w:val="single" w:sz="4" w:space="0" w:color="000000"/>
              <w:left w:val="single" w:sz="4" w:space="0" w:color="000000"/>
              <w:bottom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3"/>
                <w:kern w:val="0"/>
                <w:sz w:val="24"/>
                <w:szCs w:val="20"/>
              </w:rPr>
              <w:t>Сроки исполнения</w:t>
            </w:r>
          </w:p>
        </w:tc>
        <w:tc>
          <w:tcPr>
            <w:tcW w:w="860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Ответственные</w:t>
            </w:r>
          </w:p>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исполнители</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bl>
    <w:p>
      <w:pPr>
        <w:pStyle w:val="Normal"/>
        <w:spacing w:lineRule="auto" w:line="240" w:before="0" w:after="0"/>
        <w:rPr>
          <w:rFonts w:ascii="Times New Roman" w:hAnsi="Times New Roman"/>
          <w:color w:val="000000"/>
          <w:sz w:val="4"/>
          <w:szCs w:val="4"/>
        </w:rPr>
      </w:pPr>
      <w:r>
        <w:rPr>
          <w:rFonts w:ascii="Times New Roman" w:hAnsi="Times New Roman"/>
          <w:color w:val="000000"/>
          <w:sz w:val="4"/>
          <w:szCs w:val="4"/>
        </w:rPr>
      </w:r>
    </w:p>
    <w:tbl>
      <w:tblPr>
        <w:tblStyle w:val="Style_2"/>
        <w:tblW w:w="15108" w:type="dxa"/>
        <w:jc w:val="left"/>
        <w:tblInd w:w="38" w:type="dxa"/>
        <w:tblLayout w:type="fixed"/>
        <w:tblCellMar>
          <w:top w:w="0" w:type="dxa"/>
          <w:left w:w="40" w:type="dxa"/>
          <w:bottom w:w="0" w:type="dxa"/>
          <w:right w:w="40" w:type="dxa"/>
        </w:tblCellMar>
      </w:tblPr>
      <w:tblGrid>
        <w:gridCol w:w="1002"/>
        <w:gridCol w:w="4245"/>
        <w:gridCol w:w="12"/>
        <w:gridCol w:w="1115"/>
        <w:gridCol w:w="12"/>
        <w:gridCol w:w="8603"/>
        <w:gridCol w:w="119"/>
      </w:tblGrid>
      <w:tr>
        <w:trPr>
          <w:tblHeader w:val="true"/>
          <w:trHeight w:val="263"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rFonts w:ascii="Times New Roman" w:hAnsi="Times New Roman"/>
                <w:sz w:val="24"/>
                <w:szCs w:val="24"/>
              </w:rPr>
            </w:pPr>
            <w:r>
              <w:rPr>
                <w:rFonts w:ascii="Times New Roman" w:hAnsi="Times New Roman"/>
                <w:sz w:val="24"/>
                <w:szCs w:val="24"/>
              </w:rPr>
              <w:t>1</w:t>
            </w:r>
          </w:p>
        </w:tc>
        <w:tc>
          <w:tcPr>
            <w:tcW w:w="4257" w:type="dxa"/>
            <w:gridSpan w:val="2"/>
            <w:tcBorders>
              <w:top w:val="single" w:sz="4" w:space="0" w:color="000000"/>
              <w:left w:val="single" w:sz="4" w:space="0" w:color="000000"/>
              <w:bottom w:val="single" w:sz="4" w:space="0" w:color="000000"/>
            </w:tcBorders>
            <w:shd w:fill="FFFFFF" w:val="clear"/>
          </w:tcPr>
          <w:p>
            <w:pPr>
              <w:pStyle w:val="Normal"/>
              <w:widowControl w:val="false"/>
              <w:suppressAutoHyphens w:val="true"/>
              <w:spacing w:lineRule="auto" w:line="240" w:before="0" w:after="0"/>
              <w:ind w:hanging="0" w:left="0" w:right="0"/>
              <w:jc w:val="center"/>
              <w:rPr>
                <w:rFonts w:ascii="Times New Roman" w:hAnsi="Times New Roman"/>
                <w:sz w:val="24"/>
                <w:szCs w:val="24"/>
              </w:rPr>
            </w:pPr>
            <w:r>
              <w:rPr>
                <w:rFonts w:ascii="Times New Roman" w:hAnsi="Times New Roman"/>
                <w:sz w:val="24"/>
                <w:szCs w:val="24"/>
              </w:rPr>
              <w:t>2</w:t>
            </w:r>
          </w:p>
        </w:tc>
        <w:tc>
          <w:tcPr>
            <w:tcW w:w="1127" w:type="dxa"/>
            <w:gridSpan w:val="2"/>
            <w:tcBorders>
              <w:top w:val="single" w:sz="4" w:space="0" w:color="000000"/>
              <w:left w:val="single" w:sz="4" w:space="0" w:color="000000"/>
              <w:bottom w:val="single" w:sz="4" w:space="0" w:color="000000"/>
            </w:tcBorders>
            <w:shd w:fill="FFFFFF" w:val="clear"/>
          </w:tcPr>
          <w:p>
            <w:pPr>
              <w:pStyle w:val="Normal"/>
              <w:widowControl w:val="false"/>
              <w:suppressAutoHyphens w:val="true"/>
              <w:spacing w:lineRule="auto" w:line="240" w:before="0" w:after="0"/>
              <w:ind w:hanging="0" w:left="0" w:right="0"/>
              <w:jc w:val="center"/>
              <w:rPr>
                <w:rFonts w:ascii="Times New Roman" w:hAnsi="Times New Roman"/>
                <w:sz w:val="24"/>
                <w:szCs w:val="24"/>
              </w:rPr>
            </w:pPr>
            <w:r>
              <w:rPr>
                <w:rFonts w:ascii="Times New Roman" w:hAnsi="Times New Roman"/>
                <w:sz w:val="24"/>
                <w:szCs w:val="24"/>
              </w:rPr>
              <w:t>3</w:t>
            </w:r>
          </w:p>
        </w:tc>
        <w:tc>
          <w:tcPr>
            <w:tcW w:w="860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rFonts w:ascii="Times New Roman" w:hAnsi="Times New Roman"/>
                <w:sz w:val="24"/>
                <w:szCs w:val="24"/>
              </w:rPr>
            </w:pPr>
            <w:r>
              <w:rPr>
                <w:rFonts w:ascii="Times New Roman" w:hAnsi="Times New Roman"/>
                <w:sz w:val="24"/>
                <w:szCs w:val="24"/>
              </w:rPr>
              <w:t>4</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25" w:hRule="atLeast"/>
        </w:trPr>
        <w:tc>
          <w:tcPr>
            <w:tcW w:w="1002"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rFonts w:ascii="Times New Roman" w:hAnsi="Times New Roman"/>
                <w:sz w:val="24"/>
                <w:szCs w:val="24"/>
              </w:rPr>
            </w:pPr>
            <w:r>
              <w:rPr>
                <w:rFonts w:ascii="Times New Roman" w:hAnsi="Times New Roman"/>
                <w:sz w:val="24"/>
                <w:szCs w:val="24"/>
              </w:rPr>
              <w:t>1.</w:t>
            </w:r>
          </w:p>
        </w:tc>
        <w:tc>
          <w:tcPr>
            <w:tcW w:w="13987" w:type="dxa"/>
            <w:gridSpan w:val="5"/>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rFonts w:ascii="Times New Roman" w:hAnsi="Times New Roman"/>
                <w:sz w:val="24"/>
                <w:szCs w:val="24"/>
              </w:rPr>
            </w:pPr>
            <w:r>
              <w:rPr>
                <w:rFonts w:ascii="Times New Roman" w:hAnsi="Times New Roman"/>
                <w:color w:val="000000"/>
                <w:spacing w:val="-2"/>
                <w:kern w:val="0"/>
                <w:sz w:val="24"/>
                <w:szCs w:val="24"/>
              </w:rPr>
              <w:t xml:space="preserve">Повышение качества жизни </w:t>
            </w:r>
            <w:r>
              <w:rPr>
                <w:rFonts w:ascii="Times New Roman" w:hAnsi="Times New Roman"/>
                <w:color w:val="000000"/>
                <w:spacing w:val="0"/>
                <w:kern w:val="0"/>
                <w:sz w:val="24"/>
                <w:szCs w:val="24"/>
              </w:rPr>
              <w:t>коренных малочисленных народов Севера, Сибири и Дальнего Востока Российской Федерации, проживающих в Камчатском крае (далее в настоящем разделе – коренные малочисленные народы)</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25" w:hRule="atLeast"/>
        </w:trPr>
        <w:tc>
          <w:tcPr>
            <w:tcW w:w="1002"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1"/>
                <w:kern w:val="0"/>
                <w:sz w:val="24"/>
                <w:szCs w:val="20"/>
              </w:rPr>
              <w:t>1.1.</w:t>
            </w:r>
          </w:p>
        </w:tc>
        <w:tc>
          <w:tcPr>
            <w:tcW w:w="4245"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1"/>
                <w:kern w:val="0"/>
                <w:sz w:val="24"/>
                <w:szCs w:val="20"/>
              </w:rPr>
              <w:t>Создание условий для устойчивого развития экономики традиционных отраслей хозяйственной деятельности коренных малочисленных народов в местах их традиционного проживания и традиционной хозяйственной деятельности</w:t>
            </w:r>
          </w:p>
        </w:tc>
        <w:tc>
          <w:tcPr>
            <w:tcW w:w="1127" w:type="dxa"/>
            <w:gridSpan w:val="2"/>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p>
            <w:pPr>
              <w:pStyle w:val="Normal"/>
              <w:widowControl w:val="false"/>
              <w:suppressAutoHyphens w:val="true"/>
              <w:spacing w:lineRule="auto" w:line="240" w:before="0" w:after="0"/>
              <w:ind w:hanging="0" w:left="0" w:right="0"/>
              <w:jc w:val="center"/>
              <w:rPr>
                <w:rFonts w:ascii="Times New Roman" w:hAnsi="Times New Roman"/>
                <w:color w:val="000000"/>
                <w:sz w:val="24"/>
              </w:rPr>
            </w:pPr>
            <w:r>
              <w:rPr>
                <w:rFonts w:ascii="Times New Roman" w:hAnsi="Times New Roman"/>
                <w:color w:val="000000"/>
                <w:sz w:val="24"/>
              </w:rPr>
            </w:r>
          </w:p>
        </w:tc>
        <w:tc>
          <w:tcPr>
            <w:tcW w:w="8615" w:type="dxa"/>
            <w:gridSpan w:val="2"/>
            <w:tcBorders>
              <w:left w:val="single" w:sz="4" w:space="0" w:color="000000"/>
              <w:bottom w:val="single" w:sz="4" w:space="0" w:color="000000"/>
              <w:right w:val="single" w:sz="4" w:space="0" w:color="000000"/>
            </w:tcBorders>
            <w:shd w:fill="FFFFFF" w:val="clear"/>
          </w:tcPr>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развития гражданского общества и молодежи Камчатского края: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Ежегодно органами местного самоуправления муниципальных образований осуществляется предоставление субсидий общинам КМНС на развитие материально-технической базы общин (приобретение материальных ценностей для осуществления рыболовства, охотничьего промысла, сбора дикоросов).По состоянию на 01.01.2024 из краевого, местного бюджета и прочих внебюджетных источников на реализацию данного мероприятия предусмотрено, профинансировано и освоено – 4 989,01995 тыс. рублей.</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Заключены соглашения с 12 ОМСУ. Администрация Карагинского муниципального района вернула субсидию, так как на конкурс общины не заявились.</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По итогам прошедшего года государственную поддержку получили 25 общин КМНС из 11 муниципальных образований Камчатского края. </w:t>
            </w:r>
          </w:p>
          <w:p>
            <w:pPr>
              <w:pStyle w:val="Normal"/>
              <w:widowControl w:val="false"/>
              <w:tabs>
                <w:tab w:val="clear" w:pos="708"/>
                <w:tab w:val="left" w:pos="0" w:leader="none"/>
              </w:tabs>
              <w:suppressAutoHyphens w:val="true"/>
              <w:spacing w:lineRule="auto" w:line="240" w:before="0" w:after="0"/>
              <w:ind w:hanging="0" w:left="0" w:right="0"/>
              <w:jc w:val="both"/>
              <w:rPr>
                <w:rFonts w:ascii="Times New Roman" w:hAnsi="Times New Roman"/>
                <w:color w:val="000000"/>
                <w:sz w:val="24"/>
              </w:rPr>
            </w:pPr>
            <w:r>
              <w:rPr>
                <w:rFonts w:ascii="Times New Roman" w:hAnsi="Times New Roman"/>
                <w:color w:val="000000"/>
                <w:sz w:val="24"/>
              </w:rPr>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25" w:hRule="atLeast"/>
        </w:trPr>
        <w:tc>
          <w:tcPr>
            <w:tcW w:w="1002"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1.2.</w:t>
            </w:r>
          </w:p>
        </w:tc>
        <w:tc>
          <w:tcPr>
            <w:tcW w:w="4245"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Обеспечение реализации мер государственной поддержки северного оленеводства в Камчатском крае</w:t>
            </w:r>
          </w:p>
        </w:tc>
        <w:tc>
          <w:tcPr>
            <w:tcW w:w="1127" w:type="dxa"/>
            <w:gridSpan w:val="2"/>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2021–2025 годы</w:t>
            </w:r>
          </w:p>
        </w:tc>
        <w:tc>
          <w:tcPr>
            <w:tcW w:w="8615" w:type="dxa"/>
            <w:gridSpan w:val="2"/>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сельского хозяйства, пищевой и перерабатывающей промышленности Камчатского края: </w:t>
            </w:r>
          </w:p>
          <w:p>
            <w:pPr>
              <w:pStyle w:val="Normal"/>
              <w:widowControl w:val="false"/>
              <w:suppressAutoHyphens w:val="true"/>
              <w:spacing w:lineRule="auto" w:line="240" w:before="0" w:after="0"/>
              <w:ind w:hanging="0" w:left="15" w:right="78"/>
              <w:jc w:val="both"/>
              <w:rPr>
                <w:sz w:val="22"/>
              </w:rPr>
            </w:pPr>
            <w:r>
              <w:rPr>
                <w:rFonts w:ascii="Times New Roman" w:hAnsi="Times New Roman"/>
                <w:color w:val="000000"/>
                <w:kern w:val="0"/>
                <w:sz w:val="24"/>
                <w:szCs w:val="20"/>
              </w:rPr>
              <w:t xml:space="preserve">1)оказана поддержка пяти предприятиям, осуществляемым деятельность на территории </w:t>
            </w:r>
            <w:r>
              <w:rPr>
                <w:rFonts w:ascii="Times New Roman" w:hAnsi="Times New Roman"/>
                <w:color w:val="000000"/>
                <w:spacing w:val="0"/>
                <w:kern w:val="0"/>
                <w:sz w:val="24"/>
                <w:szCs w:val="20"/>
              </w:rPr>
              <w:t>Корякского округа (ГУП «ПО Камчатоленпром», ООО «Оленевод», ООО «Возрождение развития оленеводства», ООО «Алней», ООО «Тымлатский рыбокомбинат»).</w:t>
            </w:r>
          </w:p>
          <w:p>
            <w:pPr>
              <w:pStyle w:val="Normal"/>
              <w:widowControl w:val="false"/>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2)двум предприятиям (ГУП «ПО Камчатоленпром», ООО «Оленевод») Министерством оказана поддержка на возмещение части затрат по отдельным подотраслям растениеводства и животноводства на поддержку племенного животноводства. </w:t>
            </w:r>
          </w:p>
          <w:p>
            <w:pPr>
              <w:pStyle w:val="Normal"/>
              <w:widowControl w:val="false"/>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3)оказана поддержка одному предприятию (ГУП «ПО Камчатоленпром») в виде субсидии на возмещение 30 процентов фактически понесенных в году предоставления субсидии затрат, связанных с оплатой труда обучающихся в иных образовательных организациях, привлеченных для прохождения практики, в том числе производственной пр</w:t>
            </w:r>
            <w:r>
              <w:rPr>
                <w:rFonts w:ascii="Times New Roman" w:hAnsi="Times New Roman"/>
                <w:color w:val="000000"/>
                <w:kern w:val="0"/>
                <w:sz w:val="24"/>
                <w:szCs w:val="20"/>
              </w:rPr>
              <w:t xml:space="preserve">актики.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25" w:hRule="atLeast"/>
        </w:trPr>
        <w:tc>
          <w:tcPr>
            <w:tcW w:w="1002"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1.3.</w:t>
            </w:r>
          </w:p>
        </w:tc>
        <w:tc>
          <w:tcPr>
            <w:tcW w:w="4245"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Обеспечение принятия проекта закона Камчатского края «О северном оленеводстве в Камчатском крае</w:t>
            </w:r>
          </w:p>
        </w:tc>
        <w:tc>
          <w:tcPr>
            <w:tcW w:w="1127" w:type="dxa"/>
            <w:gridSpan w:val="2"/>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2023–2024 годы</w:t>
            </w:r>
          </w:p>
        </w:tc>
        <w:tc>
          <w:tcPr>
            <w:tcW w:w="8615" w:type="dxa"/>
            <w:gridSpan w:val="2"/>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В  2023 году принят Закон Камчатского края от 05.10.2023 № 254 «О северном оленеводстве</w:t>
            </w:r>
            <w:r>
              <w:rPr>
                <w:rFonts w:ascii="Times New Roman" w:hAnsi="Times New Roman"/>
                <w:i/>
                <w:color w:val="000000"/>
                <w:spacing w:val="0"/>
                <w:kern w:val="0"/>
                <w:sz w:val="24"/>
                <w:szCs w:val="20"/>
              </w:rPr>
              <w:t xml:space="preserve"> </w:t>
            </w:r>
            <w:r>
              <w:rPr>
                <w:rFonts w:ascii="Times New Roman" w:hAnsi="Times New Roman"/>
                <w:color w:val="000000"/>
                <w:spacing w:val="0"/>
                <w:kern w:val="0"/>
                <w:sz w:val="24"/>
                <w:szCs w:val="20"/>
              </w:rPr>
              <w:t xml:space="preserve">в Камчатском крае» в рамках которого предусмотрены дополнительные меры социальной поддержки гражданам, занятым в оленеводстве: </w:t>
            </w:r>
          </w:p>
          <w:p>
            <w:pPr>
              <w:pStyle w:val="Normal"/>
              <w:widowControl w:val="false"/>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1)ежемесячная денежная выплата на период пребывания в каникулярное время в оленеводческих звеньях на каждого несовершеннолетнего ребенка, совместно проживающего с родителями (иными законными представителями), в размере величины </w:t>
            </w:r>
            <w:r>
              <w:fldChar w:fldCharType="begin"/>
            </w:r>
            <w:r>
              <w:rPr>
                <w:sz w:val="24"/>
                <w:spacing w:val="0"/>
                <w:kern w:val="0"/>
                <w:szCs w:val="20"/>
                <w:rFonts w:ascii="Times New Roman" w:hAnsi="Times New Roman"/>
                <w:color w:val="000000"/>
              </w:rPr>
              <w:instrText xml:space="preserve"> HYPERLINK "https://internet.garant.ru/" \l "/document/25910200/entry/0"</w:instrText>
            </w:r>
            <w:r>
              <w:rPr>
                <w:sz w:val="24"/>
                <w:spacing w:val="0"/>
                <w:kern w:val="0"/>
                <w:szCs w:val="20"/>
                <w:rFonts w:ascii="Times New Roman" w:hAnsi="Times New Roman"/>
                <w:color w:val="000000"/>
              </w:rPr>
              <w:fldChar w:fldCharType="separate"/>
            </w:r>
            <w:r>
              <w:rPr>
                <w:rFonts w:ascii="Times New Roman" w:hAnsi="Times New Roman"/>
                <w:color w:val="000000"/>
                <w:spacing w:val="0"/>
                <w:kern w:val="0"/>
                <w:sz w:val="24"/>
                <w:szCs w:val="20"/>
              </w:rPr>
              <w:t>прожиточного минимума</w:t>
            </w:r>
            <w:r>
              <w:rPr>
                <w:sz w:val="24"/>
                <w:spacing w:val="0"/>
                <w:kern w:val="0"/>
                <w:szCs w:val="20"/>
                <w:rFonts w:ascii="Times New Roman" w:hAnsi="Times New Roman"/>
                <w:color w:val="000000"/>
              </w:rPr>
              <w:fldChar w:fldCharType="end"/>
            </w:r>
            <w:r>
              <w:rPr>
                <w:rFonts w:ascii="Times New Roman" w:hAnsi="Times New Roman"/>
                <w:color w:val="000000"/>
                <w:spacing w:val="0"/>
                <w:kern w:val="0"/>
                <w:sz w:val="24"/>
                <w:szCs w:val="20"/>
              </w:rPr>
              <w:t xml:space="preserve"> для детей, установленной в Камчатском крае в соответствии с </w:t>
            </w:r>
            <w:r>
              <w:fldChar w:fldCharType="begin"/>
            </w:r>
            <w:r>
              <w:rPr>
                <w:sz w:val="24"/>
                <w:spacing w:val="0"/>
                <w:kern w:val="0"/>
                <w:szCs w:val="20"/>
                <w:rFonts w:ascii="Times New Roman" w:hAnsi="Times New Roman"/>
                <w:color w:val="000000"/>
              </w:rPr>
              <w:instrText xml:space="preserve"> HYPERLINK "https://internet.garant.ru/" \l "/document/172780/entry/0"</w:instrText>
            </w:r>
            <w:r>
              <w:rPr>
                <w:sz w:val="24"/>
                <w:spacing w:val="0"/>
                <w:kern w:val="0"/>
                <w:szCs w:val="20"/>
                <w:rFonts w:ascii="Times New Roman" w:hAnsi="Times New Roman"/>
                <w:color w:val="000000"/>
              </w:rPr>
              <w:fldChar w:fldCharType="separate"/>
            </w:r>
            <w:r>
              <w:rPr>
                <w:rFonts w:ascii="Times New Roman" w:hAnsi="Times New Roman"/>
                <w:color w:val="000000"/>
                <w:spacing w:val="0"/>
                <w:kern w:val="0"/>
                <w:sz w:val="24"/>
                <w:szCs w:val="20"/>
              </w:rPr>
              <w:t>Федеральным законом</w:t>
            </w:r>
            <w:r>
              <w:rPr>
                <w:sz w:val="24"/>
                <w:spacing w:val="0"/>
                <w:kern w:val="0"/>
                <w:szCs w:val="20"/>
                <w:rFonts w:ascii="Times New Roman" w:hAnsi="Times New Roman"/>
                <w:color w:val="000000"/>
              </w:rPr>
              <w:fldChar w:fldCharType="end"/>
            </w:r>
            <w:r>
              <w:rPr>
                <w:rFonts w:ascii="Times New Roman" w:hAnsi="Times New Roman"/>
                <w:color w:val="000000"/>
                <w:spacing w:val="0"/>
                <w:kern w:val="0"/>
                <w:sz w:val="24"/>
                <w:szCs w:val="20"/>
              </w:rPr>
              <w:t xml:space="preserve"> от 24.10.1997 № 134-ФЗ «О прожиточном минимуме в Российской Федерации» (далее – Федеральный закон от 24.10.1997 № 134-ФЗ); </w:t>
            </w:r>
          </w:p>
          <w:p>
            <w:pPr>
              <w:pStyle w:val="Normal"/>
              <w:widowControl w:val="false"/>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2)санаторно-курортное лечение на территории Камчатского края (один раз в год) и оплата (компенсация) стоимости проезда к месту проведения санаторно-курортного лечения и обратно (один раз в год) на воздушном транспорте межмуниципального сообщения в Камчатском крае при направлении на санаторно-курортное лечение;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3)льготное зубопротезирование;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4)денежная выплата (один раз в год) на возмещение понесенных затрат на лекарственное обеспечение в размере, не превышающем величину </w:t>
            </w:r>
            <w:r>
              <w:fldChar w:fldCharType="begin"/>
            </w:r>
            <w:r>
              <w:rPr>
                <w:sz w:val="24"/>
                <w:spacing w:val="0"/>
                <w:kern w:val="0"/>
                <w:szCs w:val="20"/>
                <w:rFonts w:ascii="Times New Roman" w:hAnsi="Times New Roman"/>
                <w:color w:val="000000"/>
              </w:rPr>
              <w:instrText xml:space="preserve"> HYPERLINK "https://internet.garant.ru/" \l "/document/25910200/entry/0"</w:instrText>
            </w:r>
            <w:r>
              <w:rPr>
                <w:sz w:val="24"/>
                <w:spacing w:val="0"/>
                <w:kern w:val="0"/>
                <w:szCs w:val="20"/>
                <w:rFonts w:ascii="Times New Roman" w:hAnsi="Times New Roman"/>
                <w:color w:val="000000"/>
              </w:rPr>
              <w:fldChar w:fldCharType="separate"/>
            </w:r>
            <w:r>
              <w:rPr>
                <w:rFonts w:ascii="Times New Roman" w:hAnsi="Times New Roman"/>
                <w:color w:val="000000"/>
                <w:spacing w:val="0"/>
                <w:kern w:val="0"/>
                <w:sz w:val="24"/>
                <w:szCs w:val="20"/>
              </w:rPr>
              <w:t>прожиточного минимума</w:t>
            </w:r>
            <w:r>
              <w:rPr>
                <w:sz w:val="24"/>
                <w:spacing w:val="0"/>
                <w:kern w:val="0"/>
                <w:szCs w:val="20"/>
                <w:rFonts w:ascii="Times New Roman" w:hAnsi="Times New Roman"/>
                <w:color w:val="000000"/>
              </w:rPr>
              <w:fldChar w:fldCharType="end"/>
            </w:r>
            <w:r>
              <w:rPr>
                <w:rFonts w:ascii="Times New Roman" w:hAnsi="Times New Roman"/>
                <w:color w:val="000000"/>
                <w:spacing w:val="0"/>
                <w:kern w:val="0"/>
                <w:sz w:val="24"/>
                <w:szCs w:val="20"/>
              </w:rPr>
              <w:t xml:space="preserve"> для трудоспособного населения, установленную в Камчатском крае в соответствии с </w:t>
            </w:r>
            <w:r>
              <w:fldChar w:fldCharType="begin"/>
            </w:r>
            <w:r>
              <w:rPr>
                <w:sz w:val="24"/>
                <w:spacing w:val="0"/>
                <w:kern w:val="0"/>
                <w:szCs w:val="20"/>
                <w:rFonts w:ascii="Times New Roman" w:hAnsi="Times New Roman"/>
                <w:color w:val="000000"/>
              </w:rPr>
              <w:instrText xml:space="preserve"> HYPERLINK "https://internet.garant.ru/" \l "/document/172780/entry/0"</w:instrText>
            </w:r>
            <w:r>
              <w:rPr>
                <w:sz w:val="24"/>
                <w:spacing w:val="0"/>
                <w:kern w:val="0"/>
                <w:szCs w:val="20"/>
                <w:rFonts w:ascii="Times New Roman" w:hAnsi="Times New Roman"/>
                <w:color w:val="000000"/>
              </w:rPr>
              <w:fldChar w:fldCharType="separate"/>
            </w:r>
            <w:r>
              <w:rPr>
                <w:rFonts w:ascii="Times New Roman" w:hAnsi="Times New Roman"/>
                <w:color w:val="000000"/>
                <w:spacing w:val="0"/>
                <w:kern w:val="0"/>
                <w:sz w:val="24"/>
                <w:szCs w:val="20"/>
              </w:rPr>
              <w:t>Федеральным законом</w:t>
            </w:r>
            <w:r>
              <w:rPr>
                <w:sz w:val="24"/>
                <w:spacing w:val="0"/>
                <w:kern w:val="0"/>
                <w:szCs w:val="20"/>
                <w:rFonts w:ascii="Times New Roman" w:hAnsi="Times New Roman"/>
                <w:color w:val="000000"/>
              </w:rPr>
              <w:fldChar w:fldCharType="end"/>
            </w:r>
            <w:r>
              <w:rPr>
                <w:rFonts w:ascii="Times New Roman" w:hAnsi="Times New Roman"/>
                <w:color w:val="000000"/>
                <w:spacing w:val="0"/>
                <w:kern w:val="0"/>
                <w:sz w:val="24"/>
                <w:szCs w:val="20"/>
              </w:rPr>
              <w:t xml:space="preserve"> от 24.10.1997 № 134-ФЗ (далее – величина прожиточного минимума для трудоспособного населения, установленная в Камчатском крае);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5)оплата (компенсация) стоимости проезда к месту оказания наркологической помощи и обратно (один раз в год) на воздушном транспорте межмуниципального сообщения в Камчатском крае при направлении для получения наркологической помощи;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6)бесплатная юридическая помощь в соответствии с </w:t>
            </w:r>
            <w:r>
              <w:fldChar w:fldCharType="begin"/>
            </w:r>
            <w:r>
              <w:rPr>
                <w:sz w:val="24"/>
                <w:spacing w:val="0"/>
                <w:kern w:val="0"/>
                <w:szCs w:val="20"/>
                <w:rFonts w:ascii="Times New Roman" w:hAnsi="Times New Roman"/>
                <w:color w:val="000000"/>
              </w:rPr>
              <w:instrText xml:space="preserve"> HYPERLINK "https://internet.garant.ru/" \l "/document/25900562/entry/0"</w:instrText>
            </w:r>
            <w:r>
              <w:rPr>
                <w:sz w:val="24"/>
                <w:spacing w:val="0"/>
                <w:kern w:val="0"/>
                <w:szCs w:val="20"/>
                <w:rFonts w:ascii="Times New Roman" w:hAnsi="Times New Roman"/>
                <w:color w:val="000000"/>
              </w:rPr>
              <w:fldChar w:fldCharType="separate"/>
            </w:r>
            <w:r>
              <w:rPr>
                <w:rFonts w:ascii="Times New Roman" w:hAnsi="Times New Roman"/>
                <w:color w:val="000000"/>
                <w:spacing w:val="0"/>
                <w:kern w:val="0"/>
                <w:sz w:val="24"/>
                <w:szCs w:val="20"/>
              </w:rPr>
              <w:t>Законом</w:t>
            </w:r>
            <w:r>
              <w:rPr>
                <w:sz w:val="24"/>
                <w:spacing w:val="0"/>
                <w:kern w:val="0"/>
                <w:szCs w:val="20"/>
                <w:rFonts w:ascii="Times New Roman" w:hAnsi="Times New Roman"/>
                <w:color w:val="000000"/>
              </w:rPr>
              <w:fldChar w:fldCharType="end"/>
            </w:r>
            <w:r>
              <w:rPr>
                <w:rFonts w:ascii="Times New Roman" w:hAnsi="Times New Roman"/>
                <w:color w:val="000000"/>
                <w:spacing w:val="0"/>
                <w:kern w:val="0"/>
                <w:sz w:val="24"/>
                <w:szCs w:val="20"/>
              </w:rPr>
              <w:t xml:space="preserve"> Камчатского края от 05.10.2012 № 131 «Об отдельных вопросах оказания бесплатной юридической помощи в Камчатском крае».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7)при наличии у оленевода, работника чума права на получение мер социальной поддержки на санаторно-курортное лечение на территории Камчатского края (один раз в год) и оплата (компенсация) стоимости проезда к месту проведения санаторнокурортного лечения и обратно (один раз в год) на воздушном транспорте межмуниципального сообщения в Камчатском крае при направлении на санаторнокурортное лечение и льготное зубопротезирование, по нескольким основаниям такие меры социальной поддержки предоставляются по одному из оснований по его выбору (за исключением случаев, предусмотренных федеральным законодательством и законодательством Камчатского края);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8)членам семьи оленевода в случае его гибели (смерти), наступившей при выполнении им трудовых обязанностей, либо вследствие увечья (ранения, травмы), полученного в связи с выполнением им трудовых обязанностей, предоставляется единовременная денежная выплата в размере, устанавливаемом постановлением Правительства Камчатского края;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9)гражданам, которым назначена страховая пенсия по старости, при условии, что такие граждане имеют стаж работы оленеводами или работниками чума не менее 15 лет и не осуществляют трудовую деятельность, один раз в год предоставляется денежная выплата в размере величины </w:t>
            </w:r>
            <w:r>
              <w:fldChar w:fldCharType="begin"/>
            </w:r>
            <w:r>
              <w:rPr>
                <w:sz w:val="24"/>
                <w:spacing w:val="0"/>
                <w:kern w:val="0"/>
                <w:szCs w:val="20"/>
                <w:rFonts w:ascii="Times New Roman" w:hAnsi="Times New Roman"/>
                <w:color w:val="000000"/>
              </w:rPr>
              <w:instrText xml:space="preserve"> HYPERLINK "https://internet.garant.ru/" \l "/document/25910200/entry/0"</w:instrText>
            </w:r>
            <w:r>
              <w:rPr>
                <w:sz w:val="24"/>
                <w:spacing w:val="0"/>
                <w:kern w:val="0"/>
                <w:szCs w:val="20"/>
                <w:rFonts w:ascii="Times New Roman" w:hAnsi="Times New Roman"/>
                <w:color w:val="000000"/>
              </w:rPr>
              <w:fldChar w:fldCharType="separate"/>
            </w:r>
            <w:r>
              <w:rPr>
                <w:rFonts w:ascii="Times New Roman" w:hAnsi="Times New Roman"/>
                <w:color w:val="000000"/>
                <w:spacing w:val="0"/>
                <w:kern w:val="0"/>
                <w:sz w:val="24"/>
                <w:szCs w:val="20"/>
              </w:rPr>
              <w:t xml:space="preserve">прожиточного минимума </w:t>
            </w:r>
            <w:r>
              <w:rPr>
                <w:sz w:val="24"/>
                <w:spacing w:val="0"/>
                <w:kern w:val="0"/>
                <w:szCs w:val="20"/>
                <w:rFonts w:ascii="Times New Roman" w:hAnsi="Times New Roman"/>
                <w:color w:val="000000"/>
              </w:rPr>
              <w:fldChar w:fldCharType="end"/>
            </w:r>
            <w:r>
              <w:rPr>
                <w:rFonts w:ascii="Times New Roman" w:hAnsi="Times New Roman"/>
                <w:color w:val="000000"/>
                <w:spacing w:val="0"/>
                <w:kern w:val="0"/>
                <w:sz w:val="24"/>
                <w:szCs w:val="20"/>
              </w:rPr>
              <w:t xml:space="preserve">для </w:t>
            </w:r>
          </w:p>
          <w:p>
            <w:pPr>
              <w:pStyle w:val="Normal"/>
              <w:widowControl w:val="false"/>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трудоспособного населения, установленной в Камчатском крае;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 xml:space="preserve">10)несовершеннолетним гражданам в возрасте от 14 до 18 лет, временно трудоустроенным в свободное от учебы время в оленеводческие хозяйства, предоставляется ежемесячная денежная выплата на период трудоустройства в размере 1/2 величины </w:t>
            </w:r>
            <w:r>
              <w:fldChar w:fldCharType="begin"/>
            </w:r>
            <w:r>
              <w:rPr>
                <w:sz w:val="24"/>
                <w:spacing w:val="0"/>
                <w:kern w:val="0"/>
                <w:szCs w:val="20"/>
                <w:rFonts w:ascii="Times New Roman" w:hAnsi="Times New Roman"/>
                <w:color w:val="000000"/>
              </w:rPr>
              <w:instrText xml:space="preserve"> HYPERLINK "https://internet.garant.ru/" \l "/document/25910200/entry/0"</w:instrText>
            </w:r>
            <w:r>
              <w:rPr>
                <w:sz w:val="24"/>
                <w:spacing w:val="0"/>
                <w:kern w:val="0"/>
                <w:szCs w:val="20"/>
                <w:rFonts w:ascii="Times New Roman" w:hAnsi="Times New Roman"/>
                <w:color w:val="000000"/>
              </w:rPr>
              <w:fldChar w:fldCharType="separate"/>
            </w:r>
            <w:r>
              <w:rPr>
                <w:rFonts w:ascii="Times New Roman" w:hAnsi="Times New Roman"/>
                <w:color w:val="000000"/>
                <w:spacing w:val="0"/>
                <w:kern w:val="0"/>
                <w:sz w:val="24"/>
                <w:szCs w:val="20"/>
              </w:rPr>
              <w:t>прожиточного минимума</w:t>
            </w:r>
            <w:r>
              <w:rPr>
                <w:sz w:val="24"/>
                <w:spacing w:val="0"/>
                <w:kern w:val="0"/>
                <w:szCs w:val="20"/>
                <w:rFonts w:ascii="Times New Roman" w:hAnsi="Times New Roman"/>
                <w:color w:val="000000"/>
              </w:rPr>
              <w:fldChar w:fldCharType="end"/>
            </w:r>
            <w:r>
              <w:rPr>
                <w:rFonts w:ascii="Times New Roman" w:hAnsi="Times New Roman"/>
                <w:color w:val="000000"/>
                <w:spacing w:val="0"/>
                <w:kern w:val="0"/>
                <w:sz w:val="24"/>
                <w:szCs w:val="20"/>
              </w:rPr>
              <w:t xml:space="preserve"> для трудоспособного населения, установленной в Камчатском крае.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11)молодым специалистам, впервые трудоустроенным в оленеводческие хозяйства в соответствии с полученной квалификацией, предоставляется ежемесячная денежная выплата в размере 1/2 величины</w:t>
            </w:r>
            <w:r>
              <w:fldChar w:fldCharType="begin"/>
            </w:r>
            <w:r>
              <w:rPr>
                <w:sz w:val="24"/>
                <w:spacing w:val="0"/>
                <w:kern w:val="0"/>
                <w:szCs w:val="20"/>
                <w:rFonts w:ascii="Times New Roman" w:hAnsi="Times New Roman"/>
                <w:color w:val="000000"/>
              </w:rPr>
              <w:instrText xml:space="preserve"> HYPERLINK "https://internet.garant.ru/" \l "/document/25910200/entry/0"</w:instrText>
            </w:r>
            <w:r>
              <w:rPr>
                <w:sz w:val="24"/>
                <w:spacing w:val="0"/>
                <w:kern w:val="0"/>
                <w:szCs w:val="20"/>
                <w:rFonts w:ascii="Times New Roman" w:hAnsi="Times New Roman"/>
                <w:color w:val="000000"/>
              </w:rPr>
              <w:fldChar w:fldCharType="separate"/>
            </w:r>
            <w:r>
              <w:rPr>
                <w:rFonts w:ascii="Times New Roman" w:hAnsi="Times New Roman"/>
                <w:color w:val="000000"/>
                <w:spacing w:val="0"/>
                <w:kern w:val="0"/>
                <w:sz w:val="24"/>
                <w:szCs w:val="20"/>
              </w:rPr>
              <w:t xml:space="preserve"> прожиточного минимума</w:t>
            </w:r>
            <w:r>
              <w:rPr>
                <w:sz w:val="24"/>
                <w:spacing w:val="0"/>
                <w:kern w:val="0"/>
                <w:szCs w:val="20"/>
                <w:rFonts w:ascii="Times New Roman" w:hAnsi="Times New Roman"/>
                <w:color w:val="000000"/>
              </w:rPr>
              <w:fldChar w:fldCharType="end"/>
            </w:r>
            <w:r>
              <w:rPr>
                <w:rFonts w:ascii="Times New Roman" w:hAnsi="Times New Roman"/>
                <w:color w:val="000000"/>
                <w:spacing w:val="0"/>
                <w:kern w:val="0"/>
                <w:sz w:val="24"/>
                <w:szCs w:val="20"/>
              </w:rPr>
              <w:t xml:space="preserve"> для трудоспособного населения, установленной в Камчатском крае, в пределах двух лет со дня окончания образовательной организации; </w:t>
            </w:r>
          </w:p>
          <w:p>
            <w:pPr>
              <w:pStyle w:val="Normal"/>
              <w:widowControl w:val="false"/>
              <w:numPr>
                <w:ilvl w:val="0"/>
                <w:numId w:val="0"/>
              </w:numPr>
              <w:suppressAutoHyphens w:val="true"/>
              <w:spacing w:lineRule="auto" w:line="240" w:before="0" w:after="0"/>
              <w:ind w:hanging="0" w:left="15" w:right="78"/>
              <w:jc w:val="both"/>
              <w:rPr>
                <w:sz w:val="22"/>
              </w:rPr>
            </w:pPr>
            <w:r>
              <w:rPr>
                <w:rFonts w:ascii="Times New Roman" w:hAnsi="Times New Roman"/>
                <w:color w:val="000000"/>
                <w:spacing w:val="0"/>
                <w:kern w:val="0"/>
                <w:sz w:val="24"/>
                <w:szCs w:val="20"/>
              </w:rPr>
              <w:t>12)молодым специалистам, завершившим обучение по профессиям «Оленевод», «Оленевод-механизатор» или по направлению подготовки «Ветеринария и зоотехния», впервые трудоустроенным в оленеводческие хозяйства в соответствии с полученной квалификацией, и проработавшим в оленеводческом хозяйстве не менее трех лет, предоставляется единовременная денежная выплата на цели, устанавливаемые постановлением Правительства Камчатского края, в размере 500 000 рублей.</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25" w:hRule="atLeast"/>
        </w:trPr>
        <w:tc>
          <w:tcPr>
            <w:tcW w:w="1002"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1.4.</w:t>
            </w:r>
          </w:p>
        </w:tc>
        <w:tc>
          <w:tcPr>
            <w:tcW w:w="4245"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и обеспечение работы комиссии по регулированию добычи (вылова) анадромных видов рыб в Камчатском крае</w:t>
            </w:r>
          </w:p>
        </w:tc>
        <w:tc>
          <w:tcPr>
            <w:tcW w:w="1127" w:type="dxa"/>
            <w:gridSpan w:val="2"/>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firstLine="1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firstLine="10" w:left="0" w:right="0"/>
              <w:jc w:val="both"/>
              <w:rPr>
                <w:sz w:val="22"/>
              </w:rPr>
            </w:pPr>
            <w:r>
              <w:rPr>
                <w:rFonts w:ascii="Times New Roman" w:hAnsi="Times New Roman"/>
                <w:color w:val="000000"/>
                <w:spacing w:val="0"/>
                <w:kern w:val="0"/>
                <w:sz w:val="24"/>
                <w:szCs w:val="20"/>
              </w:rPr>
              <w:t>Министерство рыбного хозяйства Камчатского края: В 2023 году решениями комиссии по регулированию добычи (вылова) анадромных видов в Камчатском крае для осуществления традиционного рыболовства в Камчатском крае были установлены объемы добычи (вылова) анадромных видов рыб  (866,6 тонн корюшки, 669,2 тонн гольцов, 6010,6 тонн тихоокеанских лососей), а также объемы добычи (вылова) анадромных видов рыб лицам, относящимся к коренным малочисленным народам Севера, Сибири и Дальнего Востока Российской Федерации и их общинам, представившим в территориальные органы Росрыболовства заявки в порядке, установленном постановлением Правительства Российской Федерации от 15.10.2008 № 765. Определены условия сроки начала и запрета промысла, режим проходных дней, места лова для осуществления рыболовства без предоставления рыболовного участка и без разрешения на добычу (вылов) водных биоресурсов</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2328"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1.5.</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Обеспечение информирования коренных малочисленных народов о порядке получения права пользования водными биологическими ресурсами в целях обеспечения традиционного образа жизни и осуществления традиционной хозяйственной деятельности </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рыбного хозяйства Камчатского края: Информация о порядке получения права пользования водными биологическими ресурсами размещается в сети Интернет на сайтах Правительства Камчатского края на странице Минрыбхоза Камчатского края и Северо-Восточного территориального управления Росрыболовства, а также доводится до сведения заинтересованных лиц при их обращениях </w:t>
            </w:r>
          </w:p>
          <w:p>
            <w:pPr>
              <w:pStyle w:val="Normal"/>
              <w:widowControl w:val="false"/>
              <w:suppressAutoHyphens w:val="true"/>
              <w:spacing w:lineRule="auto" w:line="240" w:before="0" w:after="0"/>
              <w:ind w:hanging="0" w:left="0" w:right="0"/>
              <w:jc w:val="both"/>
              <w:rPr>
                <w:rFonts w:ascii="Times New Roman" w:hAnsi="Times New Roman"/>
                <w:color w:val="000000"/>
                <w:sz w:val="24"/>
              </w:rPr>
            </w:pPr>
            <w:r>
              <w:rPr>
                <w:rFonts w:ascii="Times New Roman" w:hAnsi="Times New Roman"/>
                <w:color w:val="000000"/>
                <w:sz w:val="24"/>
              </w:rPr>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473"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1.6.</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работы комиссии по определению границ рыболовных участков в Камчатском крае</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рыбного хозяйства Камчатского края: В 2023 году в адрес комиссией по определению границ рыболовных участков в Камчатском крае рассмотрены                                             7 обращений об определении границ рыболовных участков для осуществления традиционного рыболовства.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07"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39" w:left="39" w:right="0"/>
              <w:jc w:val="center"/>
              <w:rPr>
                <w:sz w:val="22"/>
              </w:rPr>
            </w:pPr>
            <w:r>
              <w:rPr>
                <w:rFonts w:ascii="Times New Roman" w:hAnsi="Times New Roman"/>
                <w:color w:val="000000"/>
                <w:spacing w:val="0"/>
                <w:kern w:val="0"/>
                <w:sz w:val="24"/>
                <w:szCs w:val="20"/>
              </w:rPr>
              <w:t>1.7.</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Оказание консультативной, методической помощи в создании малых и средних предприятий на территории Камчатского края</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экономического развития Камчатского края: Организациями, образующими инфраструктуру поддержки субъектов малого и среднего предпринимательства (далее — субъекты МСП) в Камчатском крае, организовано предоставление мер поддержки субъектов МСП, самозанятых граждан, применяющих специальный налоговый режим «Налог на профессиональный доход», а также физическим лицам, желающим начать осуществление предпринимательской деятельности, в том числе оказание консультационной и методической помощи по вопросам создания ведения собственного бизнеса. В состав организаций, образующих инфраструктуру поддержки субъектов МСП, входят АНО «Камчатский центр поддержки предпринимательства», Гарантийный фонд развития предпринимательства Камчатского края, Микрокредитная компания Камчатский государственный фонд поддержки предпринимательства.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785"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1.9.</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Сохранение и совершенствование системы социальных гарантий, выплат и иных мер государственной поддержки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2021–2025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hyperlink r:id="rId2">
              <w:r>
                <w:rPr>
                  <w:rFonts w:ascii="Times New Roman" w:hAnsi="Times New Roman"/>
                  <w:color w:val="000000"/>
                  <w:spacing w:val="0"/>
                  <w:kern w:val="0"/>
                  <w:sz w:val="24"/>
                  <w:szCs w:val="20"/>
                </w:rPr>
                <w:t>Министерство социального благополучия и семейной политики Камчатского края</w:t>
              </w:r>
            </w:hyperlink>
            <w:r>
              <w:rPr>
                <w:rFonts w:ascii="Times New Roman" w:hAnsi="Times New Roman"/>
                <w:color w:val="000000"/>
                <w:spacing w:val="0"/>
                <w:kern w:val="0"/>
                <w:sz w:val="24"/>
                <w:szCs w:val="20"/>
              </w:rPr>
              <w:t xml:space="preserve">: В рамках реализации государственной программы Камчатского края «Семья и дети Камчатки», утвержденной Постановлением Правительства Камчатского края от 28 декабря 2023 г. N 698-П, предоставляется единовременная выплата при рождении ребенка (детей) в малообеспеченных семьях, проживающих по месту жительства в Корякском округе и Алеутском районе Камчатского края. В 2023 году выплата предоставлена 46 семьям, на данные цели израсходовано 161 тыс. рублей средств краевого бюджета. </w:t>
            </w:r>
          </w:p>
          <w:p>
            <w:pPr>
              <w:pStyle w:val="Normal"/>
              <w:widowControl w:val="false"/>
              <w:suppressAutoHyphens w:val="true"/>
              <w:spacing w:lineRule="auto" w:line="240" w:before="0" w:after="0"/>
              <w:ind w:hanging="0" w:left="0" w:right="108"/>
              <w:jc w:val="both"/>
              <w:rPr>
                <w:sz w:val="22"/>
              </w:rPr>
            </w:pPr>
            <w:r>
              <w:rPr>
                <w:rFonts w:ascii="Times New Roman" w:hAnsi="Times New Roman"/>
                <w:color w:val="000000"/>
                <w:spacing w:val="0"/>
                <w:kern w:val="0"/>
                <w:sz w:val="24"/>
                <w:szCs w:val="20"/>
              </w:rPr>
              <w:t xml:space="preserve">В рамках реализации государственной программы «Социальная поддержка граждан в Камчатском крае, утвержденной постановлением Правительства Камчатского края от 29.11.2013 № 548-П, в 2023 году на социальную поддержку граждан, проживающих в Корякском округе направлены бюджетные средства в размере 390 609,65 тыс. руб., из них произведена оплата жилищно-коммунальных услуг отдельным категориям граждан в размере 3 331,11 тыс. рублей; произведена денежные выплаты лицам, награжденным нагрудным знаком «Почетный донор России» на сумму 116,38 тыс. рублей; произведена региональная социальная доплата к пенсии в размере 124 237,82 тыс. рублей. </w:t>
            </w:r>
          </w:p>
          <w:p>
            <w:pPr>
              <w:pStyle w:val="Normal"/>
              <w:widowControl w:val="false"/>
              <w:suppressAutoHyphens w:val="true"/>
              <w:spacing w:lineRule="auto" w:line="240" w:before="0" w:after="0"/>
              <w:ind w:hanging="0" w:left="0" w:right="108"/>
              <w:jc w:val="both"/>
              <w:rPr>
                <w:sz w:val="22"/>
              </w:rPr>
            </w:pPr>
            <w:r>
              <w:rPr>
                <w:rFonts w:ascii="Times New Roman" w:hAnsi="Times New Roman"/>
                <w:color w:val="000000"/>
                <w:spacing w:val="0"/>
                <w:kern w:val="0"/>
                <w:sz w:val="24"/>
                <w:szCs w:val="20"/>
              </w:rPr>
              <w:t xml:space="preserve">На территории Корякского округа проживает 417 многодетных семей, в которых воспитывается 1 440 ребенка, Семьям предоставляется более 10 видов мер социальной поддержки, на которые в 2023 году направлено 20 137,12 тыс. руб.  </w:t>
            </w:r>
          </w:p>
          <w:p>
            <w:pPr>
              <w:pStyle w:val="Normal"/>
              <w:widowControl w:val="false"/>
              <w:suppressAutoHyphens w:val="true"/>
              <w:spacing w:lineRule="auto" w:line="240" w:before="0" w:after="0"/>
              <w:ind w:hanging="0" w:left="0" w:right="108"/>
              <w:jc w:val="both"/>
              <w:rPr>
                <w:sz w:val="22"/>
              </w:rPr>
            </w:pPr>
            <w:r>
              <w:rPr>
                <w:rFonts w:ascii="Times New Roman" w:hAnsi="Times New Roman"/>
                <w:color w:val="000000"/>
                <w:spacing w:val="0"/>
                <w:kern w:val="0"/>
                <w:sz w:val="24"/>
                <w:szCs w:val="20"/>
              </w:rPr>
              <w:t xml:space="preserve">Семьи с детьми обеспечиваются пособиями и выплатами, предоставляемыми в зависимости от жизненной ситуации (в связи с рождением ребенка, его воспитанием,  инвалидностью ребенка и т.д.) либо в зависимости от малообеспеченности семьи. На данные выплаты в 2023 году израсходовано 107 268,75 тыс. руб., в т.ч. 37 666,84 тыс. руб.– средства федерального бюджета, 69 601,91 тыс. руб. – краевого бюджета. Для детей, проживающих в районах Корякского округа ежегодно организуется работа по обеспечению детей, находящихся в трудной жизненной ситуации, оздоровительным отдыхом в загородных лагерях Паратунской зоны отдыха Камчатского края.  </w:t>
            </w:r>
          </w:p>
          <w:p>
            <w:pPr>
              <w:pStyle w:val="Normal"/>
              <w:widowControl w:val="false"/>
              <w:suppressAutoHyphens w:val="true"/>
              <w:spacing w:lineRule="auto" w:line="240" w:before="0" w:after="0"/>
              <w:ind w:firstLine="336" w:left="0" w:right="108"/>
              <w:jc w:val="both"/>
              <w:rPr>
                <w:sz w:val="22"/>
              </w:rPr>
            </w:pPr>
            <w:r>
              <w:rPr>
                <w:rFonts w:ascii="Times New Roman" w:hAnsi="Times New Roman"/>
                <w:color w:val="000000"/>
                <w:spacing w:val="0"/>
                <w:kern w:val="0"/>
                <w:sz w:val="24"/>
                <w:szCs w:val="20"/>
              </w:rPr>
              <w:t xml:space="preserve">В 2023 году к месту оздоровления (в ДОЛ «Металлист» и ДОЛ «Волна») авиатранспортом направлено 118 детей из Тигильского, Карагинского, Пенжинского, Олюторского районов и пгт Палана. На оплату путевок и проезда израсходовано 19384,5 тыс. руб. из краевого бюджета.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57"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1.10.</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Создание (развитие и модернизация) объектов социальной защиты населения, расположенных в местах традиционного проживания и традиционной хозяйственной деятельности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2021–2025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hyperlink r:id="rId3">
              <w:r>
                <w:rPr>
                  <w:rFonts w:ascii="Times New Roman" w:hAnsi="Times New Roman"/>
                  <w:color w:val="000000"/>
                  <w:spacing w:val="0"/>
                  <w:kern w:val="0"/>
                  <w:sz w:val="24"/>
                  <w:szCs w:val="20"/>
                </w:rPr>
                <w:t>Министерство социального благополучия и семейной политики Камчатского края</w:t>
              </w:r>
            </w:hyperlink>
            <w:r>
              <w:rPr>
                <w:rFonts w:ascii="Times New Roman" w:hAnsi="Times New Roman"/>
                <w:color w:val="000000"/>
                <w:spacing w:val="0"/>
                <w:kern w:val="0"/>
                <w:sz w:val="24"/>
                <w:szCs w:val="20"/>
              </w:rPr>
              <w:t xml:space="preserve">: </w:t>
            </w:r>
          </w:p>
          <w:p>
            <w:pPr>
              <w:pStyle w:val="Normal"/>
              <w:widowControl w:val="false"/>
              <w:suppressAutoHyphens w:val="true"/>
              <w:spacing w:lineRule="auto" w:line="240" w:before="0" w:after="0"/>
              <w:ind w:hanging="0" w:left="0" w:right="0"/>
              <w:jc w:val="both"/>
              <w:rPr>
                <w:sz w:val="22"/>
              </w:rPr>
            </w:pPr>
            <w:r>
              <w:rPr>
                <w:rFonts w:ascii="Times New Roman" w:hAnsi="Times New Roman"/>
                <w:b w:val="false"/>
                <w:i w:val="false"/>
                <w:caps w:val="false"/>
                <w:smallCaps w:val="false"/>
                <w:color w:val="000000"/>
                <w:spacing w:val="0"/>
                <w:kern w:val="0"/>
                <w:sz w:val="24"/>
                <w:szCs w:val="20"/>
              </w:rPr>
              <w:t>В рамках реализации государственной программы Камчатского края «Семья и дети</w:t>
              <w:br/>
              <w:t>Камчатки», утвержденной Постановлением Правительства Камчатского края от 28</w:t>
              <w:br/>
              <w:t xml:space="preserve">декабря 2023 г. </w:t>
            </w:r>
            <w:r>
              <w:rPr>
                <w:rFonts w:ascii="Times New Roman" w:hAnsi="Times New Roman"/>
                <w:b w:val="false"/>
                <w:i w:val="false"/>
                <w:caps w:val="false"/>
                <w:smallCaps w:val="false"/>
                <w:color w:val="000000"/>
                <w:spacing w:val="0"/>
                <w:kern w:val="0"/>
                <w:sz w:val="24"/>
                <w:szCs w:val="20"/>
              </w:rPr>
              <w:t>№</w:t>
            </w:r>
            <w:r>
              <w:rPr>
                <w:rFonts w:ascii="Times New Roman" w:hAnsi="Times New Roman"/>
                <w:b w:val="false"/>
                <w:i w:val="false"/>
                <w:caps w:val="false"/>
                <w:smallCaps w:val="false"/>
                <w:color w:val="000000"/>
                <w:spacing w:val="0"/>
                <w:kern w:val="0"/>
                <w:sz w:val="24"/>
                <w:szCs w:val="20"/>
              </w:rPr>
              <w:t xml:space="preserve"> 698-П, предоставляется единовременная выплата при рождении</w:t>
              <w:br/>
              <w:t>ребенка (детей) в малообеспеченных семьях, проживающих по месту жительства в</w:t>
              <w:br/>
              <w:t>Корякском округе и Алеутском районе Камчатского края. В 2023 году выплата</w:t>
              <w:br/>
              <w:t>предоставлена 46 семьям, на данные цели израсходовано 161 тыс. рублей средств</w:t>
              <w:br/>
              <w:t>краевого бюджета.</w:t>
            </w:r>
          </w:p>
          <w:p>
            <w:pPr>
              <w:pStyle w:val="Normal"/>
              <w:widowControl w:val="false"/>
              <w:suppressAutoHyphens w:val="true"/>
              <w:spacing w:lineRule="auto" w:line="240" w:before="0" w:after="0"/>
              <w:ind w:hanging="0" w:left="0" w:right="0"/>
              <w:jc w:val="both"/>
              <w:rPr>
                <w:sz w:val="22"/>
              </w:rPr>
            </w:pPr>
            <w:r>
              <w:rPr>
                <w:rFonts w:ascii="Times New Roman" w:hAnsi="Times New Roman"/>
                <w:b w:val="false"/>
                <w:i w:val="false"/>
                <w:caps w:val="false"/>
                <w:smallCaps w:val="false"/>
                <w:color w:val="000000"/>
                <w:spacing w:val="0"/>
                <w:kern w:val="0"/>
                <w:sz w:val="24"/>
                <w:szCs w:val="20"/>
              </w:rPr>
              <w:t>В рамках реализации государственной программы «Социальная поддержка граждан в</w:t>
              <w:br/>
              <w:t>Камчатском крае, утвержденной постановлением Правительства Камчатского края от</w:t>
              <w:br/>
              <w:t>29.11.2013 No 548-П, в 2023 году на социальную поддержку граждан, проживающих в</w:t>
              <w:br/>
              <w:t>Корякском округе направлены бюджетные средства в размере 390 609,65 тыс. руб., из них</w:t>
              <w:br/>
              <w:t>произведена оплата жилищно-коммунальных услуг отдельным категориям граждан в</w:t>
              <w:br/>
              <w:t>размере 3 331,11 тыс. рублей; произведена денежные выплаты лицам, награжденным</w:t>
              <w:br/>
              <w:t>нагрудным знаком «Почетный донор России» на сумму 116,38 тыс. рублей; произведена</w:t>
              <w:br/>
              <w:t>региональная социальная доплата к пенсии в размере 124 237,82 тыс. рублей.</w:t>
              <w:br/>
              <w:t>На территории Корякского округа проживает 417 многодетных семей, в которых</w:t>
              <w:br/>
              <w:t>воспитывается 1 440 ребенка, Семьям предоставляется более 10 видов мер социальной</w:t>
              <w:br/>
              <w:t>поддержки, на которые в 2023 году направлено 20 137,12 тыс. руб.</w:t>
              <w:br/>
              <w:t>Семьи с детьми обеспечиваются пособиями и выплатами, предоставляемыми в</w:t>
              <w:br/>
              <w:t>зависимости от жизненной ситуации (в связи с рождением ребенка, его воспитанием,</w:t>
              <w:br/>
              <w:t>инвалидностью ребенка и т.д.) либо в зависимости от малообеспеченности семьи. На</w:t>
              <w:br/>
              <w:t>данные выплаты в 2023 году израсходовано 107 268,75 тыс. руб., в т.ч. 37 666,84 тыс. руб. средства федерального бюджета, 69 601</w:t>
            </w:r>
          </w:p>
          <w:p>
            <w:pPr>
              <w:pStyle w:val="Normal"/>
              <w:widowControl w:val="false"/>
              <w:suppressAutoHyphens w:val="true"/>
              <w:spacing w:lineRule="auto" w:line="240" w:before="0" w:after="0"/>
              <w:ind w:hanging="0" w:left="0" w:right="0"/>
              <w:jc w:val="both"/>
              <w:rPr>
                <w:sz w:val="22"/>
              </w:rPr>
            </w:pPr>
            <w:r>
              <w:rPr>
                <w:rFonts w:ascii="Times New Roman" w:hAnsi="Times New Roman"/>
                <w:b w:val="false"/>
                <w:i w:val="false"/>
                <w:caps w:val="false"/>
                <w:smallCaps w:val="false"/>
                <w:color w:val="000000"/>
                <w:spacing w:val="0"/>
                <w:kern w:val="0"/>
                <w:sz w:val="24"/>
                <w:szCs w:val="20"/>
              </w:rPr>
              <w:t>Для детей, проживающих в районах Корякского округа ежегодно организуется работа</w:t>
            </w:r>
            <w:r>
              <w:rPr>
                <w:rFonts w:ascii="Times New Roman" w:hAnsi="Times New Roman"/>
                <w:color w:val="000000"/>
                <w:spacing w:val="0"/>
                <w:kern w:val="0"/>
                <w:sz w:val="24"/>
                <w:szCs w:val="20"/>
              </w:rPr>
              <w:br/>
            </w:r>
            <w:r>
              <w:rPr>
                <w:rFonts w:ascii="Times New Roman" w:hAnsi="Times New Roman"/>
                <w:b w:val="false"/>
                <w:i w:val="false"/>
                <w:caps w:val="false"/>
                <w:smallCaps w:val="false"/>
                <w:color w:val="000000"/>
                <w:spacing w:val="0"/>
                <w:kern w:val="0"/>
                <w:sz w:val="24"/>
                <w:szCs w:val="20"/>
              </w:rPr>
              <w:t>по обеспечению детей, находящихся в трудной жизненной ситуации, оздоровительным</w:t>
            </w:r>
            <w:r>
              <w:rPr>
                <w:rFonts w:ascii="Times New Roman" w:hAnsi="Times New Roman"/>
                <w:color w:val="000000"/>
                <w:spacing w:val="0"/>
                <w:kern w:val="0"/>
                <w:sz w:val="24"/>
                <w:szCs w:val="20"/>
              </w:rPr>
              <w:br/>
            </w:r>
            <w:r>
              <w:rPr>
                <w:rFonts w:ascii="Times New Roman" w:hAnsi="Times New Roman"/>
                <w:b w:val="false"/>
                <w:i w:val="false"/>
                <w:caps w:val="false"/>
                <w:smallCaps w:val="false"/>
                <w:color w:val="000000"/>
                <w:spacing w:val="0"/>
                <w:kern w:val="0"/>
                <w:sz w:val="24"/>
                <w:szCs w:val="20"/>
              </w:rPr>
              <w:t>отдыхом в загородных лагерях Паратунской зоны отдыха Камчатского края.</w:t>
            </w:r>
            <w:r>
              <w:rPr>
                <w:rFonts w:ascii="Times New Roman" w:hAnsi="Times New Roman"/>
                <w:color w:val="000000"/>
                <w:spacing w:val="0"/>
                <w:kern w:val="0"/>
                <w:sz w:val="24"/>
                <w:szCs w:val="20"/>
              </w:rPr>
              <w:br/>
            </w:r>
            <w:r>
              <w:rPr>
                <w:rFonts w:ascii="Times New Roman" w:hAnsi="Times New Roman"/>
                <w:b w:val="false"/>
                <w:i w:val="false"/>
                <w:caps w:val="false"/>
                <w:smallCaps w:val="false"/>
                <w:color w:val="000000"/>
                <w:spacing w:val="0"/>
                <w:kern w:val="0"/>
                <w:sz w:val="24"/>
                <w:szCs w:val="20"/>
              </w:rPr>
              <w:t>В</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2023</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году</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к</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месту</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оздоровления</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(в</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ДОЛ</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«Металлист»</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и</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ДОЛ</w:t>
            </w:r>
            <w:r>
              <w:rPr>
                <w:rFonts w:ascii="Times New Roman" w:hAnsi="Times New Roman"/>
                <w:caps w:val="false"/>
                <w:smallCaps w:val="false"/>
                <w:color w:val="000000"/>
                <w:spacing w:val="0"/>
                <w:kern w:val="0"/>
                <w:sz w:val="24"/>
                <w:szCs w:val="20"/>
              </w:rPr>
              <w:t xml:space="preserve"> </w:t>
            </w:r>
            <w:r>
              <w:rPr>
                <w:rFonts w:ascii="Times New Roman" w:hAnsi="Times New Roman"/>
                <w:b w:val="false"/>
                <w:i w:val="false"/>
                <w:caps w:val="false"/>
                <w:smallCaps w:val="false"/>
                <w:color w:val="000000"/>
                <w:spacing w:val="0"/>
                <w:kern w:val="0"/>
                <w:sz w:val="24"/>
                <w:szCs w:val="20"/>
              </w:rPr>
              <w:t>«Волна»)</w:t>
            </w:r>
            <w:r>
              <w:rPr>
                <w:rFonts w:ascii="Times New Roman" w:hAnsi="Times New Roman"/>
                <w:color w:val="000000"/>
                <w:spacing w:val="0"/>
                <w:kern w:val="0"/>
                <w:sz w:val="24"/>
                <w:szCs w:val="20"/>
              </w:rPr>
              <w:br/>
            </w:r>
            <w:r>
              <w:rPr>
                <w:rFonts w:ascii="Times New Roman" w:hAnsi="Times New Roman"/>
                <w:b w:val="false"/>
                <w:i w:val="false"/>
                <w:caps w:val="false"/>
                <w:smallCaps w:val="false"/>
                <w:color w:val="000000"/>
                <w:spacing w:val="0"/>
                <w:kern w:val="0"/>
                <w:sz w:val="24"/>
                <w:szCs w:val="20"/>
              </w:rPr>
              <w:t>авиатранспортом направлено 118 детей из Тигильского, Карагинского, Пенджинского,</w:t>
            </w:r>
            <w:r>
              <w:rPr>
                <w:rFonts w:ascii="Times New Roman" w:hAnsi="Times New Roman"/>
                <w:color w:val="000000"/>
                <w:spacing w:val="0"/>
                <w:kern w:val="0"/>
                <w:sz w:val="24"/>
                <w:szCs w:val="20"/>
              </w:rPr>
              <w:br/>
            </w:r>
            <w:r>
              <w:rPr>
                <w:rFonts w:ascii="Times New Roman" w:hAnsi="Times New Roman"/>
                <w:b w:val="false"/>
                <w:i w:val="false"/>
                <w:caps w:val="false"/>
                <w:smallCaps w:val="false"/>
                <w:color w:val="000000"/>
                <w:spacing w:val="0"/>
                <w:kern w:val="0"/>
                <w:sz w:val="24"/>
                <w:szCs w:val="20"/>
              </w:rPr>
              <w:t>Олюторского районов и пгт Палана. На оплату путевок и проезда израсходовано 19384,5</w:t>
            </w:r>
            <w:r>
              <w:rPr>
                <w:rFonts w:ascii="Times New Roman" w:hAnsi="Times New Roman"/>
                <w:color w:val="000000"/>
                <w:spacing w:val="0"/>
                <w:kern w:val="0"/>
                <w:sz w:val="24"/>
                <w:szCs w:val="20"/>
              </w:rPr>
              <w:br/>
            </w:r>
            <w:r>
              <w:rPr>
                <w:rFonts w:ascii="Times New Roman" w:hAnsi="Times New Roman"/>
                <w:b w:val="false"/>
                <w:i w:val="false"/>
                <w:caps w:val="false"/>
                <w:smallCaps w:val="false"/>
                <w:color w:val="000000"/>
                <w:spacing w:val="0"/>
                <w:kern w:val="0"/>
                <w:sz w:val="24"/>
                <w:szCs w:val="20"/>
              </w:rPr>
              <w:t>тыс. руб. из краевого бюджета</w:t>
            </w:r>
            <w:r>
              <w:rPr>
                <w:rFonts w:ascii="Times New Roman" w:hAnsi="Times New Roman"/>
                <w:color w:val="000000"/>
                <w:spacing w:val="0"/>
                <w:kern w:val="0"/>
                <w:sz w:val="24"/>
                <w:szCs w:val="20"/>
              </w:rPr>
              <w:t xml:space="preserve">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841"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1.11.</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Реализация мер, направленных на повышение уровня занятости в местах традиционного проживания коренных малочисленных народов </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2021–2025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hyperlink r:id="rId4">
              <w:r>
                <w:rPr>
                  <w:rFonts w:ascii="Times New Roman" w:hAnsi="Times New Roman"/>
                  <w:color w:val="000000"/>
                  <w:spacing w:val="0"/>
                  <w:kern w:val="0"/>
                  <w:sz w:val="24"/>
                  <w:szCs w:val="20"/>
                </w:rPr>
                <w:t>Министерство социального благополучия и семейной политики Камчатского края</w:t>
              </w:r>
            </w:hyperlink>
            <w:r>
              <w:rPr>
                <w:rFonts w:ascii="Times New Roman" w:hAnsi="Times New Roman"/>
                <w:color w:val="000000"/>
                <w:spacing w:val="0"/>
                <w:kern w:val="0"/>
                <w:sz w:val="24"/>
                <w:szCs w:val="20"/>
              </w:rPr>
              <w:t xml:space="preserve">: На территории Корякского округа функционирует 4 организации социального обслуживания населения и 1 организация для детей сирот и детей, оставшихся без попечения родителей, подведомственные Министерству социального благополучия и семейной политики Камчатского края: </w:t>
            </w:r>
          </w:p>
          <w:p>
            <w:pPr>
              <w:pStyle w:val="Normal"/>
              <w:widowControl w:val="false"/>
              <w:numPr>
                <w:ilvl w:val="0"/>
                <w:numId w:val="0"/>
              </w:numPr>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-КГАУ СЗ «Паланский комплексный центр социального обслуживания населения»; </w:t>
            </w:r>
          </w:p>
          <w:p>
            <w:pPr>
              <w:pStyle w:val="Normal"/>
              <w:widowControl w:val="false"/>
              <w:numPr>
                <w:ilvl w:val="0"/>
                <w:numId w:val="0"/>
              </w:numPr>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-КГАУ СЗ «Тигильский комплексный центр социального обслуживания населения»; </w:t>
            </w:r>
          </w:p>
          <w:p>
            <w:pPr>
              <w:pStyle w:val="Normal"/>
              <w:widowControl w:val="false"/>
              <w:numPr>
                <w:ilvl w:val="0"/>
                <w:numId w:val="0"/>
              </w:numPr>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-КГАУ СЗ «Камчатский центр социальной помощи семье и детям «СЕМЬЯ» с 4-мя филиалами в Пенжинском муниципальном районе (с. Манилы, с. Таловка, с. Слаутное, с. </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Аянка); </w:t>
            </w:r>
          </w:p>
          <w:p>
            <w:pPr>
              <w:pStyle w:val="Normal"/>
              <w:widowControl w:val="false"/>
              <w:numPr>
                <w:ilvl w:val="0"/>
                <w:numId w:val="0"/>
              </w:numPr>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-КГАСУ СЗ «Тигильский дом-интернат психоневрологического типа»; </w:t>
            </w:r>
          </w:p>
          <w:p>
            <w:pPr>
              <w:pStyle w:val="Normal"/>
              <w:widowControl w:val="false"/>
              <w:numPr>
                <w:ilvl w:val="0"/>
                <w:numId w:val="0"/>
              </w:numPr>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-КГБУ «Центр содействия развитию семейных форм устройства «Эчган» (пгт Палана). </w:t>
            </w:r>
          </w:p>
          <w:p>
            <w:pPr>
              <w:pStyle w:val="Normal"/>
              <w:widowControl w:val="false"/>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 xml:space="preserve">Развитие и модернизация указанных организаций проводится в рамках реализации мероприятий государственной программы Камчатского края «Социальная поддержка граждан в Камчатском крае». </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На данные цели в 2023 году израсходовано 2 256,53 тыс. рублей, из них 1 907,33 тыс. рублей направлено на обеспечение комплексной безопасности учреждений и 349,20 тыс. рублей на укрепление материально-технической базы учреждений. </w:t>
            </w:r>
          </w:p>
          <w:p>
            <w:pPr>
              <w:pStyle w:val="Normal"/>
              <w:widowControl w:val="false"/>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 xml:space="preserve">Средства направлены на проведение ремонтных работ, на техническое обслуживание системы сигнализации и оповещения о пожаре, техническое обслуживание системы видеонаблюдения, техническое обслуживание телевизионной системы охраны и наблюдения, приобретение компьютерной и бытовой техники В рамках реализации государственной программы «Социальная поддержка граждан в Камчатском крае, утвержденной постановлением Правительства Камчатского края от </w:t>
            </w:r>
          </w:p>
          <w:p>
            <w:pPr>
              <w:pStyle w:val="Normal"/>
              <w:widowControl w:val="false"/>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 xml:space="preserve">29.11.2013 № 548-П, организовано предоставление неработающим гражданам Российской Федерации, являющимся получателями пенсий по старости, проживающим в Камчатском крае, меры социальной поддержки по предоставлению санаторно-курортного лечения. В рамках данного мероприятия в 2023 году КГКУ «Камчатский центр по выплате государственных и социальных пособий» приобретена 441 путевка на общую сумму 43 316 784,0 руб. в «Жемчужину Камчатки», произведена компенсация стоимости путевок на санаторно-курортное лечение в санаторно-курортные организации, приобретенных гражданами самостоятельно, 510 чел. на сумму 25 011 196,75 руб. </w:t>
            </w:r>
          </w:p>
          <w:p>
            <w:pPr>
              <w:pStyle w:val="Normal"/>
              <w:widowControl w:val="false"/>
              <w:suppressAutoHyphens w:val="true"/>
              <w:spacing w:lineRule="auto" w:line="240" w:before="0" w:after="0"/>
              <w:ind w:hanging="0" w:left="0" w:right="0"/>
              <w:jc w:val="both"/>
              <w:rPr>
                <w:sz w:val="22"/>
              </w:rPr>
            </w:pPr>
            <w:hyperlink r:id="rId5">
              <w:r>
                <w:rPr>
                  <w:rFonts w:ascii="Times New Roman" w:hAnsi="Times New Roman"/>
                  <w:color w:val="000000"/>
                  <w:spacing w:val="0"/>
                  <w:kern w:val="0"/>
                  <w:sz w:val="24"/>
                  <w:szCs w:val="20"/>
                </w:rPr>
                <w:t>Министерство труда и развития кадрового потенциала Камчатского края</w:t>
              </w:r>
            </w:hyperlink>
            <w:r>
              <w:rPr>
                <w:rFonts w:ascii="Times New Roman" w:hAnsi="Times New Roman"/>
                <w:color w:val="000000"/>
                <w:spacing w:val="0"/>
                <w:kern w:val="0"/>
                <w:sz w:val="24"/>
                <w:szCs w:val="20"/>
              </w:rPr>
              <w:t>: В Камчатском крае органами службы занятости проводится работа, направленная на повышение уровня занятости в местах традиционного проживания коренных малочисленных народов.</w:t>
            </w:r>
          </w:p>
          <w:p>
            <w:pPr>
              <w:pStyle w:val="Normal"/>
              <w:widowControl w:val="false"/>
              <w:suppressAutoHyphens w:val="true"/>
              <w:spacing w:lineRule="auto" w:line="240" w:before="0" w:after="0"/>
              <w:ind w:hanging="0" w:left="0" w:right="0"/>
              <w:contextualSpacing/>
              <w:jc w:val="both"/>
              <w:rPr>
                <w:sz w:val="22"/>
              </w:rPr>
            </w:pPr>
            <w:r>
              <w:rPr>
                <w:rFonts w:ascii="Times New Roman" w:hAnsi="Times New Roman"/>
                <w:color w:val="000000"/>
                <w:spacing w:val="0"/>
                <w:kern w:val="0"/>
                <w:sz w:val="24"/>
                <w:szCs w:val="20"/>
              </w:rPr>
              <w:t xml:space="preserve">В 2023 году численность коренных малочисленных народов, обратившихся в органы службы занятости за содействием в поиске подходящей работы, составила 70 человек, из них признано безработными 59 граждан. </w:t>
            </w:r>
          </w:p>
          <w:p>
            <w:pPr>
              <w:pStyle w:val="Normal"/>
              <w:widowControl w:val="false"/>
              <w:suppressAutoHyphens w:val="true"/>
              <w:spacing w:lineRule="auto" w:line="240" w:before="0" w:after="0"/>
              <w:ind w:hanging="0" w:left="0" w:right="0"/>
              <w:contextualSpacing/>
              <w:jc w:val="both"/>
              <w:rPr>
                <w:sz w:val="22"/>
              </w:rPr>
            </w:pPr>
            <w:r>
              <w:rPr>
                <w:rFonts w:ascii="Times New Roman" w:hAnsi="Times New Roman"/>
                <w:color w:val="000000"/>
                <w:spacing w:val="0"/>
                <w:kern w:val="0"/>
                <w:sz w:val="24"/>
                <w:szCs w:val="20"/>
              </w:rPr>
              <w:t>На вакантные рабочие места постоянного и временного характера, заявленные в органы службы занятости населения работодателями, трудоустроено 24 гражданина из числа коренных народов, что составляет 34,3% от числа обратившихся граждан указанной категории (70 человек).</w:t>
            </w:r>
          </w:p>
          <w:p>
            <w:pPr>
              <w:pStyle w:val="Normal"/>
              <w:widowControl w:val="false"/>
              <w:suppressAutoHyphens w:val="true"/>
              <w:spacing w:lineRule="auto" w:line="240" w:before="0" w:after="0"/>
              <w:ind w:hanging="0" w:left="0" w:right="0"/>
              <w:contextualSpacing/>
              <w:jc w:val="both"/>
              <w:rPr>
                <w:sz w:val="22"/>
              </w:rPr>
            </w:pPr>
            <w:r>
              <w:rPr>
                <w:rFonts w:ascii="Times New Roman" w:hAnsi="Times New Roman"/>
                <w:color w:val="000000"/>
                <w:spacing w:val="0"/>
                <w:kern w:val="0"/>
                <w:sz w:val="24"/>
                <w:szCs w:val="20"/>
              </w:rPr>
              <w:t>В целях повышения занятости коренных народов на рынке труда Камчатского края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 (далее – Программа), в 2023 году органами службы занятости населения обеспечивалась реализация мероприятий активной политики занятости населения и оказывался полный спектр государственных услуг в сфере занятости населения.</w:t>
            </w:r>
          </w:p>
          <w:p>
            <w:pPr>
              <w:pStyle w:val="Normal"/>
              <w:widowControl w:val="false"/>
              <w:suppressAutoHyphens w:val="true"/>
              <w:spacing w:lineRule="auto" w:line="240" w:before="0" w:after="0"/>
              <w:ind w:hanging="0" w:left="0" w:right="98"/>
              <w:contextualSpacing/>
              <w:jc w:val="both"/>
              <w:rPr>
                <w:sz w:val="22"/>
              </w:rPr>
            </w:pPr>
            <w:r>
              <w:rPr>
                <w:rFonts w:ascii="Times New Roman" w:hAnsi="Times New Roman"/>
                <w:color w:val="000000"/>
                <w:spacing w:val="0"/>
                <w:kern w:val="0"/>
                <w:sz w:val="24"/>
                <w:szCs w:val="20"/>
              </w:rPr>
              <w:t>Проведено 122 ярмарки вакансий и учебных рабочих мест, которые посетили 37 граждан из числа коренных народов.</w:t>
            </w:r>
          </w:p>
          <w:p>
            <w:pPr>
              <w:pStyle w:val="Normal"/>
              <w:widowControl w:val="false"/>
              <w:suppressAutoHyphens w:val="true"/>
              <w:spacing w:lineRule="auto" w:line="240" w:before="0" w:after="0"/>
              <w:ind w:hanging="0" w:left="0" w:right="0"/>
              <w:contextualSpacing/>
              <w:jc w:val="both"/>
              <w:rPr>
                <w:sz w:val="22"/>
              </w:rPr>
            </w:pPr>
            <w:r>
              <w:rPr>
                <w:rFonts w:ascii="Times New Roman" w:hAnsi="Times New Roman"/>
                <w:color w:val="000000"/>
                <w:spacing w:val="0"/>
                <w:kern w:val="0"/>
                <w:sz w:val="24"/>
                <w:szCs w:val="20"/>
              </w:rPr>
              <w:t>В целях оказания информационных, консультационных и иных услуг в областисодействия занятости коренным народам, КГКУ ЦЗН организована работа консультационных пунктов.</w:t>
            </w:r>
          </w:p>
          <w:p>
            <w:pPr>
              <w:pStyle w:val="Normal"/>
              <w:widowControl w:val="false"/>
              <w:suppressAutoHyphens w:val="true"/>
              <w:spacing w:lineRule="auto" w:line="240" w:before="0" w:after="0"/>
              <w:ind w:hanging="0" w:left="0" w:right="0"/>
              <w:contextualSpacing/>
              <w:jc w:val="both"/>
              <w:rPr>
                <w:sz w:val="22"/>
              </w:rPr>
            </w:pPr>
            <w:r>
              <w:rPr>
                <w:rFonts w:ascii="Times New Roman" w:hAnsi="Times New Roman"/>
                <w:color w:val="000000"/>
                <w:spacing w:val="0"/>
                <w:kern w:val="0"/>
                <w:sz w:val="24"/>
                <w:szCs w:val="20"/>
              </w:rPr>
              <w:t>В целях удобства получения государственных услуг на территории отдалённых населённых пунктов в 3 отделениях ЦЗН (Елизовского, Мильковского, Усть-Большерецкого районов) функционируют мобильные центры, в которых гражданам, в том числе коренным народам, оказывают государственные услуги в области содействия занятости населения, а также консультируют по вопросам трудоустройства.</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Всего в течение 2023 года проведено 80 выездов с использованием мобильных центров, услугами которых воспользовались 23 гражданина, относящихся к коренным народам.</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3341"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1.12.</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Формирование специализированного жилищного фонда для специалистов (работников) учреждений (предприятий) Камчатского края</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2021–2025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строительства и жилищной политики Камчатского края: В 2023 году в рамках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ответственным исполнителем которой является Министерство ЖКХ и энергетики Камчатского края, исполнялись следующие мероприятия, направленные на формирование инженерной инфраструктуры на территории Корякского округа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в рамках регионального проекта «Чистая вода» завершена «Реконструкция водовода от водозабора до пгт. Палана и внутриплощадочных сетей территории совхоза пгт. Палана Тигильского района Камчатского края». Реконструкция сетей 2  водоснабжения велась в течение 3-х лет с 2021 по 2023 год. За это время было переложено 7 472,8 м водовода и установлено 77 новых колодцев. </w:t>
            </w:r>
          </w:p>
          <w:p>
            <w:pPr>
              <w:pStyle w:val="Normal"/>
              <w:widowControl w:val="false"/>
              <w:suppressAutoHyphens w:val="true"/>
              <w:spacing w:lineRule="auto" w:line="240" w:before="0" w:after="0"/>
              <w:ind w:hanging="31" w:left="31" w:right="0"/>
              <w:jc w:val="both"/>
              <w:rPr>
                <w:sz w:val="22"/>
              </w:rPr>
            </w:pPr>
            <w:r>
              <w:rPr>
                <w:rFonts w:ascii="Times New Roman" w:hAnsi="Times New Roman"/>
                <w:color w:val="000000"/>
                <w:spacing w:val="0"/>
                <w:kern w:val="0"/>
                <w:sz w:val="24"/>
                <w:szCs w:val="20"/>
              </w:rPr>
              <w:t>-продолжаются работы в рамках мероприятия «Строительство системы хозяйственно-питьевого водоснабжения с. Лесная Тигильского района Камчатского края». В 2023 году объект прошел инженерное обследование, были закуплены недостающие материалы и оборудование, актуализирована проектная документация. Завершение мероприятия запланировано до конца 2024 года.</w:t>
            </w:r>
          </w:p>
          <w:p>
            <w:pPr>
              <w:pStyle w:val="Normal"/>
              <w:widowControl w:val="false"/>
              <w:suppressAutoHyphens w:val="true"/>
              <w:spacing w:lineRule="auto" w:line="240" w:before="0" w:after="0"/>
              <w:ind w:hanging="0" w:left="0" w:right="0"/>
              <w:jc w:val="both"/>
              <w:rPr>
                <w:sz w:val="22"/>
              </w:rPr>
            </w:pPr>
            <w:bookmarkStart w:id="0" w:name="_GoBack_Копия_3"/>
            <w:bookmarkEnd w:id="0"/>
            <w:r>
              <w:rPr>
                <w:rFonts w:ascii="Times New Roman" w:hAnsi="Times New Roman"/>
                <w:color w:val="000000"/>
                <w:spacing w:val="0"/>
                <w:kern w:val="0"/>
                <w:sz w:val="24"/>
                <w:szCs w:val="20"/>
              </w:rPr>
              <w:t xml:space="preserve">Министерство имущественных и земельных отношений Камчатского края:  в собственность Камчатского края приобретено жилое помещение, расположенное в с. Манилы Пенжинского района. </w:t>
            </w:r>
          </w:p>
          <w:p>
            <w:pPr>
              <w:pStyle w:val="Normal"/>
              <w:widowControl w:val="false"/>
              <w:suppressAutoHyphens w:val="true"/>
              <w:spacing w:lineRule="auto" w:line="240" w:before="0" w:after="0"/>
              <w:ind w:hanging="0" w:left="0" w:right="0"/>
              <w:contextualSpacing/>
              <w:jc w:val="both"/>
              <w:rPr>
                <w:sz w:val="22"/>
              </w:rPr>
            </w:pPr>
            <w:r>
              <w:rPr>
                <w:rFonts w:ascii="Times New Roman" w:hAnsi="Times New Roman"/>
                <w:color w:val="000000"/>
                <w:spacing w:val="0"/>
                <w:kern w:val="0"/>
                <w:sz w:val="24"/>
                <w:szCs w:val="20"/>
              </w:rPr>
              <w:t xml:space="preserve">Министерство строительства и жилищной политики Камчатского края: </w:t>
            </w:r>
          </w:p>
          <w:p>
            <w:pPr>
              <w:pStyle w:val="Normal"/>
              <w:widowControl w:val="false"/>
              <w:suppressAutoHyphens w:val="true"/>
              <w:spacing w:lineRule="auto" w:line="240" w:before="0" w:after="0"/>
              <w:ind w:hanging="0" w:left="15" w:right="0"/>
              <w:jc w:val="both"/>
              <w:rPr>
                <w:sz w:val="22"/>
              </w:rPr>
            </w:pPr>
            <w:r>
              <w:rPr>
                <w:rFonts w:ascii="Times New Roman" w:hAnsi="Times New Roman"/>
                <w:color w:val="000000"/>
                <w:spacing w:val="0"/>
                <w:kern w:val="0"/>
                <w:sz w:val="24"/>
                <w:szCs w:val="20"/>
              </w:rPr>
              <w:t>- Приобретение 12-ти квартир в строящемся жилом доме в сельском поселении «село Слаутное».В 2023 году в рамках мероприятия «Обеспечение стандартным жильем специалистов социальной сферы, а также граждан, состоящих на учете в качестве  нуждающихся в улучшении жилищных условий» подпрограммы 3 «Обеспечение доступным и комфортным жильем и коммунальными услугами населения Корякского округа» государственной программы Камчатского края «Социальное и экономическое развитие территории с особым статусом «Корякский округ» завершено строительство 12-ти квартирного жилого дома</w:t>
            </w:r>
            <w:r>
              <w:rPr>
                <w:rFonts w:ascii="Times New Roman" w:hAnsi="Times New Roman"/>
                <w:i/>
                <w:color w:val="000000"/>
                <w:spacing w:val="0"/>
                <w:kern w:val="0"/>
                <w:sz w:val="24"/>
                <w:szCs w:val="20"/>
              </w:rPr>
              <w:t xml:space="preserve"> </w:t>
            </w:r>
            <w:r>
              <w:rPr>
                <w:rFonts w:ascii="Times New Roman" w:hAnsi="Times New Roman"/>
                <w:color w:val="000000"/>
                <w:spacing w:val="0"/>
                <w:kern w:val="0"/>
                <w:sz w:val="24"/>
                <w:szCs w:val="20"/>
              </w:rPr>
              <w:t>в сельском поселении «село Слаутное». Разрешение на ввод в эксплуатацию от 01.06.2023. Площадь квартир 12 квартир – 601 кв.м. На территории села Тиличики Олюторского муниципального района заключены муниципальные контракты от 06.02.2023 на приобретение 6 квартир в построенном в 2020 году 6-ти квартирном жилом доме (разрешение на ввод в эксплуатацию получено – 14.02.2020. Квартиры общей площадью 469,0 кв.м. предоставлены специалистам социальной сферы и гражданам, стоящим в очереди на улучшение жилищных условий.</w:t>
            </w:r>
          </w:p>
          <w:p>
            <w:pPr>
              <w:pStyle w:val="Normal"/>
              <w:widowControl w:val="false"/>
              <w:suppressAutoHyphens w:val="true"/>
              <w:spacing w:lineRule="auto" w:line="240" w:before="0" w:after="0"/>
              <w:ind w:hanging="0" w:left="15" w:right="0"/>
              <w:jc w:val="both"/>
              <w:rPr>
                <w:sz w:val="22"/>
              </w:rPr>
            </w:pPr>
            <w:r>
              <w:rPr>
                <w:rFonts w:ascii="Times New Roman" w:hAnsi="Times New Roman"/>
                <w:color w:val="000000"/>
                <w:spacing w:val="0"/>
                <w:kern w:val="0"/>
                <w:sz w:val="24"/>
                <w:szCs w:val="20"/>
              </w:rPr>
              <w:t xml:space="preserve">-Заключены договоры социального найма от 13.09.2023. Три квартиры предоставлены специалистам социальной сферы и девять квартир гражданам, стоящим в очереди на улучшение жилищных условий. На территории села Тиличики Олюторского муниципального района заключены муниципальные контракты от 06.02.2023 на приобретение 6 квартир в построенном в 2020 году 6-ти квартирном жилом доме (разрешение на ввод в эксплуатацию получено – 14.02.2020. 3.03.2023 ключи от квартир получили специалисты социальной сферы, а также граждане, стоящие в очереди на улучшение жилищных условий. Квартиры общей площадью 469,0 кв.м. предоставлены специалистам социальной сферы и гражданам, стоящим в очереди на улучшение жилищных условий.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55"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1.16.</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Оказание содействия операторам связи по предоставлению универсальных услуг связи в местах традиционного проживания и традиционной хозяйственной деятельности коренных малочисленных народов, включая услуги по передаче данных и предоставлению доступа к информационно-телекоммуникационной сети «Интернет» и услуги телефонной связи с использованием таксофонов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2021–2025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hyperlink r:id="rId6">
              <w:r>
                <w:rPr>
                  <w:rFonts w:ascii="Times New Roman" w:hAnsi="Times New Roman"/>
                  <w:color w:val="000000"/>
                  <w:spacing w:val="0"/>
                  <w:kern w:val="0"/>
                  <w:sz w:val="24"/>
                  <w:szCs w:val="20"/>
                </w:rPr>
                <w:t>Министерство цифрового развития Камчатского края</w:t>
              </w:r>
            </w:hyperlink>
            <w:r>
              <w:rPr>
                <w:rFonts w:ascii="Times New Roman" w:hAnsi="Times New Roman"/>
                <w:color w:val="000000"/>
                <w:spacing w:val="0"/>
                <w:kern w:val="0"/>
                <w:sz w:val="24"/>
                <w:szCs w:val="20"/>
              </w:rPr>
              <w:t xml:space="preserve">: 1) Строительство волоконно-оптической линии связи по маршруту «Анавгай – Усть-Хайрюзово – Тигиль – Палана – Оссора» (далее – ВОЛС) </w:t>
            </w:r>
          </w:p>
          <w:p>
            <w:pPr>
              <w:pStyle w:val="Normal"/>
              <w:widowControl w:val="false"/>
              <w:suppressAutoHyphens w:val="true"/>
              <w:spacing w:lineRule="auto" w:line="240" w:before="0" w:after="0"/>
              <w:ind w:hanging="0" w:left="0" w:right="128"/>
              <w:jc w:val="both"/>
              <w:rPr>
                <w:sz w:val="22"/>
              </w:rPr>
            </w:pPr>
            <w:r>
              <w:rPr>
                <w:rFonts w:ascii="Times New Roman" w:hAnsi="Times New Roman"/>
                <w:color w:val="000000"/>
                <w:spacing w:val="0"/>
                <w:kern w:val="0"/>
                <w:sz w:val="24"/>
                <w:szCs w:val="20"/>
              </w:rPr>
              <w:t xml:space="preserve">Строительство ВОЛС в направлении северных районов Камчатского края осуществляет ООО «ИнтерКамСервис» в рамках Соглашения о сотрудничестве в целях реализации на территории Камчатского края инвестиционных проектов в сфере телекоммуникаций, заключенного между Камчатским краем и оператором связи. Характеристики ВОЛС: </w:t>
            </w:r>
          </w:p>
          <w:p>
            <w:pPr>
              <w:pStyle w:val="Normal"/>
              <w:widowControl w:val="false"/>
              <w:numPr>
                <w:ilvl w:val="0"/>
                <w:numId w:val="0"/>
              </w:numPr>
              <w:suppressAutoHyphens w:val="true"/>
              <w:spacing w:lineRule="auto" w:line="240" w:before="0" w:after="0"/>
              <w:ind w:hanging="0" w:left="0" w:right="128"/>
              <w:jc w:val="both"/>
              <w:rPr>
                <w:sz w:val="22"/>
              </w:rPr>
            </w:pPr>
            <w:r>
              <w:rPr>
                <w:rFonts w:ascii="Times New Roman" w:hAnsi="Times New Roman"/>
                <w:color w:val="000000"/>
                <w:spacing w:val="0"/>
                <w:kern w:val="0"/>
                <w:sz w:val="24"/>
                <w:szCs w:val="20"/>
              </w:rPr>
              <w:t xml:space="preserve">-общая протяженность более 860 км; </w:t>
            </w:r>
          </w:p>
          <w:p>
            <w:pPr>
              <w:pStyle w:val="Normal"/>
              <w:widowControl w:val="false"/>
              <w:numPr>
                <w:ilvl w:val="0"/>
                <w:numId w:val="0"/>
              </w:numPr>
              <w:suppressAutoHyphens w:val="true"/>
              <w:spacing w:lineRule="auto" w:line="240" w:before="0" w:after="0"/>
              <w:ind w:hanging="0" w:left="0" w:right="128"/>
              <w:jc w:val="both"/>
              <w:rPr>
                <w:sz w:val="22"/>
              </w:rPr>
            </w:pPr>
            <w:r>
              <w:rPr>
                <w:rFonts w:ascii="Times New Roman" w:hAnsi="Times New Roman"/>
                <w:color w:val="000000"/>
                <w:spacing w:val="0"/>
                <w:kern w:val="0"/>
                <w:sz w:val="24"/>
                <w:szCs w:val="20"/>
              </w:rPr>
              <w:t xml:space="preserve">-охват «оптикой» 9 населенных пунктов Тигильского и Карагинского районов; </w:t>
            </w:r>
          </w:p>
          <w:p>
            <w:pPr>
              <w:pStyle w:val="Normal"/>
              <w:widowControl w:val="false"/>
              <w:numPr>
                <w:ilvl w:val="0"/>
                <w:numId w:val="0"/>
              </w:numPr>
              <w:suppressAutoHyphens w:val="true"/>
              <w:spacing w:lineRule="auto" w:line="240" w:before="0" w:after="0"/>
              <w:ind w:hanging="0" w:left="0" w:right="128"/>
              <w:jc w:val="both"/>
              <w:rPr>
                <w:sz w:val="22"/>
              </w:rPr>
            </w:pPr>
            <w:r>
              <w:rPr>
                <w:rFonts w:ascii="Times New Roman" w:hAnsi="Times New Roman"/>
                <w:color w:val="000000"/>
                <w:spacing w:val="0"/>
                <w:kern w:val="0"/>
                <w:sz w:val="24"/>
                <w:szCs w:val="20"/>
              </w:rPr>
              <w:t xml:space="preserve">-общая численность населения – 8394 человек; </w:t>
            </w:r>
          </w:p>
          <w:p>
            <w:pPr>
              <w:pStyle w:val="Normal"/>
              <w:widowControl w:val="false"/>
              <w:numPr>
                <w:ilvl w:val="0"/>
                <w:numId w:val="0"/>
              </w:numPr>
              <w:suppressAutoHyphens w:val="true"/>
              <w:spacing w:lineRule="auto" w:line="240" w:before="0" w:after="0"/>
              <w:ind w:hanging="0" w:left="0" w:right="128"/>
              <w:jc w:val="both"/>
              <w:rPr>
                <w:sz w:val="22"/>
              </w:rPr>
            </w:pPr>
            <w:r>
              <w:rPr>
                <w:rFonts w:ascii="Times New Roman" w:hAnsi="Times New Roman"/>
                <w:color w:val="000000"/>
                <w:spacing w:val="0"/>
                <w:kern w:val="0"/>
                <w:sz w:val="24"/>
                <w:szCs w:val="20"/>
              </w:rPr>
              <w:t xml:space="preserve">-стоимость реализации более 760 млн рублей (180 млн рублей – краевой бюджет, остальное – инвестиции ООО «ИнтерКамСервис»); - срок реализации 2022-2023 годы.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Кроме подключения населенных пунктов к ВОЛС проектом предусмотрено строительство внутрипоселковых распределительных сетей, что позволяет охватить сетями передачи данных по технологии GPON («оптика» в дом) либо на базе беспроводных технологий максимальное количество домохозяйств. По мере ввода в эксплуатацию отдельных участков ВОЛС жителям Корякского округа становятся доступны все современные цифровые сервисы, основанные на высокоскоростной передаче данных: широкополосный доступ к глобальным ресурсам сети Интернет, неограниченный доступ к государственным информационным системам, получение государственных и муниципальных услуг в электронном виде, банковские услуги и сервисы, качественная голосовая связь, интерактивное телевидение.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По состоянию на январь 2024 года строительство магистрали завершено. Современные услуги связи, в том числе высокоскоростной интернет, стали доступны в 8 населенных пунктах Тигильского района (Хайрюзово, Усть-Хайрюзово, Ковран, Воямполка, Седанка, Тигиль, Палана, Лесная). В 1 квартале 2024 года будет завершено строительство распределительной сети с подключением социально значимых объектов и домохозяйств в сельском поселении Оссора.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Операторы мобильной связи планомерно переводят свои базовые станции со спутниковых каналов связи на «оптику», что в значительной мере повышает качество голосовой связи и скорость мобильного Интернета. На сегодняшний день мобильные сети 4 поколения (LTE) уже запущены в Усть-Хайрюзово, Тигиле, Палане.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В 2024-2026 годах планируем продолжение сотрудничества с региональным оператором связи ООО «ИнтерКамСервис» в части строительства ВОЛС по маршруту «Оссора – Тиличики» с охватом еще 8 населенных пунктов: Карага, Кострома, Ивашка, Тымлат, Ильпырское Карагинского района, Вывенка, Корф, Тиличики Олюторского района (общая численность населения – 3632 человека), общей протяженностью порядка 400 км.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2) обеспечение услуг доступа к сети Интернет в труднодоступных населенных пунктах Камчатского края Во исполнение поручения Губернатора Камчатского края В.В. Солодова, в целях обеспечения качественными услугами Интернет населения административных центров Камчатского края, за счет средств краевого бюджета с мая 2022 года услуги мобильного Интернета стандарта 3G предоставляются в с. Никольское (Алеутский округ) и с. Каменское (Пенжинский район), с июня 2022 года услуги мобильной связи 2G в с. Парень и с. Оклан (Пенжинский район), где до этого мобильной связи не было вообще. Во 2 квартале 2024 года планируется запуск услуг мобильной связи стандарта 4G(LTE) в с. Тиличики (Олюторский район).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3) устранение цифрового неравенства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В рамках федеральной программы по устранению цифрового неравенства (УЦН 2.0) ПАО «Ростелеком» обеспечивает в Камчатском крае предоставление универсальных услуг связи. Проект УЦН 2.0. предусматривает появление в населенных пунктах с численностью 100-500 человек современной мобильной связи по технологии LTE за счет средств федерального бюджета. По данной программе в 2023 году базовые станции LTE запущены в с. Майском (Усть-Камчатский район), п. Таежном (Мильковский округ), с. Аянке (Пенжинский район), с. Тымлате (Карагинский район). На 2024 год в соответствии с квотой запланировано строительство LTE еще в 2 населенных пунктах, отобранных по результатам голосования на портале Госуслуг, проводимого Минцифры России (с. Слаутное Пенжинского района, с. Карага Карагинского района).</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1699"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1.17.</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Развитие транспортной системы в местах традиционного проживания и традиционной хозяйственной деятельности коренных малочисленных народов (эксплуатация автозимника «Анавгай – Тигиль»)</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транспорта и дорожного строительства Камчатского края: осуществляется эксплуатация сезонного автозимника «Анавгай – Тигиль». </w:t>
            </w:r>
          </w:p>
          <w:p>
            <w:pPr>
              <w:pStyle w:val="Normal"/>
              <w:widowControl w:val="false"/>
              <w:suppressAutoHyphens w:val="true"/>
              <w:spacing w:lineRule="auto" w:line="240" w:before="0" w:after="0"/>
              <w:ind w:firstLine="25" w:left="0" w:right="14"/>
              <w:jc w:val="both"/>
              <w:rPr>
                <w:sz w:val="22"/>
              </w:rPr>
            </w:pPr>
            <w:r>
              <w:rPr>
                <w:rFonts w:ascii="Times New Roman" w:hAnsi="Times New Roman"/>
                <w:color w:val="000000"/>
                <w:spacing w:val="0"/>
                <w:kern w:val="0"/>
                <w:sz w:val="24"/>
                <w:szCs w:val="20"/>
              </w:rPr>
              <w:t xml:space="preserve">Эксплуатирующая организация КГКУ «Камчатуправтодор», подрядная организация ГУП КК «ДРСУ». Указанный автозимник имеет сезонных характер, работает в зимнее время. На нем выполнятся работы по уплотнению снега, устройству ледовых переправ. После открытия производится расчистка автозимника от снежных заносов и обслуживание ледовых переправ. </w:t>
            </w:r>
          </w:p>
          <w:p>
            <w:pPr>
              <w:pStyle w:val="Normal"/>
              <w:widowControl w:val="false"/>
              <w:suppressAutoHyphens w:val="true"/>
              <w:spacing w:lineRule="auto" w:line="240" w:before="0" w:after="0"/>
              <w:ind w:firstLine="25" w:left="0" w:right="14"/>
              <w:jc w:val="both"/>
              <w:rPr>
                <w:sz w:val="22"/>
              </w:rPr>
            </w:pPr>
            <w:r>
              <w:rPr>
                <w:rFonts w:ascii="Times New Roman" w:hAnsi="Times New Roman"/>
                <w:color w:val="000000"/>
                <w:spacing w:val="0"/>
                <w:kern w:val="0"/>
                <w:sz w:val="24"/>
                <w:szCs w:val="20"/>
              </w:rPr>
              <w:t xml:space="preserve">Осуществляется эксплуатация автозимника продленного действия «Тигиль - Палана». Эксплуатирующая организация КГКУ «Камчатуправтодор», подрядная организация ГУП КК «ДРСУ». Указанный автозимник имеет круглогодичный характер, выполнен в виде насыпи из песчано-гравийной смеси. На нем выполняются в рамках содержания объемные работы по восстановлению дорожного полотна и дорожной одежды, ремонт искусственных сооружений. В зимнее время производится расчистка от снежных заносов.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481"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1.18.</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Развитие транспортной системы в местах традиционного проживания и традиционной хозяйственной деятельности коренных малочисленных народов (эксплуатация дороги «Тигиль – Палана»)</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транспорта и дорожного строительства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Заключен государственный контракт на содержание круглогодичного автозимника Тигиль - Палана. Выполнение работ находится на контроле заказчика КГКУ "Камчатуправтодор".</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481" w:hRule="atLeast"/>
        </w:trPr>
        <w:tc>
          <w:tcPr>
            <w:tcW w:w="1002"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1"/>
                <w:kern w:val="0"/>
                <w:sz w:val="24"/>
                <w:szCs w:val="20"/>
              </w:rPr>
              <w:t>2.</w:t>
            </w:r>
          </w:p>
        </w:tc>
        <w:tc>
          <w:tcPr>
            <w:tcW w:w="13987" w:type="dxa"/>
            <w:gridSpan w:val="5"/>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1"/>
                <w:kern w:val="0"/>
                <w:sz w:val="24"/>
                <w:szCs w:val="20"/>
              </w:rPr>
              <w:t>Создание условий для улучшения демографических показателей коренных малочисленных народов Севера, Сибири и Дальнего Востока Российской Федерации, проживающих в Камчатском крае (далее в настоящем разделе – коренные малочисленные народы)</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06"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2.2.</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Развитие сети фельдшерско-акушерских пунктов и отделений врача общей практики в соответствии с численностью населения в местах традиционного проживания и традиционной хозяйственной деятельности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firstLine="14" w:left="-4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26" w:left="26" w:right="0"/>
              <w:jc w:val="both"/>
              <w:rPr>
                <w:sz w:val="22"/>
              </w:rPr>
            </w:pPr>
            <w:r>
              <w:rPr>
                <w:rFonts w:ascii="Times New Roman" w:hAnsi="Times New Roman"/>
                <w:color w:val="000000"/>
                <w:spacing w:val="0"/>
                <w:kern w:val="0"/>
                <w:sz w:val="24"/>
                <w:szCs w:val="20"/>
              </w:rPr>
              <w:t xml:space="preserve">Министерство здравоохранения Камчатского края: </w:t>
            </w:r>
            <w:bookmarkStart w:id="1" w:name="_GoBack_Копия_1"/>
            <w:bookmarkEnd w:id="1"/>
            <w:r>
              <w:rPr>
                <w:rFonts w:ascii="Times New Roman" w:hAnsi="Times New Roman"/>
                <w:color w:val="000000"/>
                <w:spacing w:val="0"/>
                <w:kern w:val="0"/>
                <w:sz w:val="24"/>
                <w:szCs w:val="20"/>
              </w:rPr>
              <w:t>в 2023 году завершено возведение следующих объектов капитального строительства и получена лицензия на осуществление медицинской деятельности:</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1. Фельдшерско-акушерский пункт. Камчатский край, Елизовский муниципальный район, п. Березняки;</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2. Фельдшерско-акушерский пункт. Камчатский край, Елизовский муниципальный район, п. Новый.</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Завершено возведение объектов капитального строительства и осуществляется оформление лицензии на осуществление медицинской деятельности:</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1. Фельдшерско-акушерский пункт. Камчатский край, Олюторский муниципальный район, село Апука;</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2. Фельдшерский здравпункт. Камчатский край, Усть-Камчатский муниципальный район, с. Крутоберегово.</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В течение 2023 года также осуществлялось возведение следующих объектов капитального строительства (с плановым сроком завершения в 2024 г.):</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1. Фельдшерско-акушерский пункт. Камчатский край, Пенжинский муниципальный район, с. Слаутное;</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2. Фельдшерско-акушерский пункт. Камчатский край, Пенжинский муниципальный район, с. Аянка.</w:t>
            </w:r>
            <w:bookmarkStart w:id="2" w:name="_GoBack_Копия_2"/>
            <w:bookmarkEnd w:id="2"/>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764"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2.3.</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Расширение доступа населения, проживающего в отдаленных муниципальных образованиях Камчатского края, к государственным услугам и функциям путем предоставления государственных услуг и государственных функций методом «выездных бригад»</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2016-2025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Министерство по делам местного самоуправления и развитию Корякского округа Камчатского края: В 2023 году в целях расширения доступа жителей Камчатского края, проживающих в населенных пунктах, относящихся к труднодоступным и отдаленным местностям (перечень утвержден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к государственным услугам (функциям), согласно графику, утвержденному приказом Министерства по делам местного самоуправления и развитию Корякского округа Камчатского края от 10.01.2023 № 5-П были организованы поездки «выездных бригад:</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Алеутский муниципальный округ (январь – февраль)</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Олюторский муниципальный район (февраль – март);</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Тигильский и Соболевский муниципальные районы (май – июнь);</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Пенжинский муниципальный район (август – сентябрь);</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Карагинский муниципальный район (октябрь – ноябрь).</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Всего в 2023 году жителям пяти муниципальных районов и одно муниципального округа (15278 жителей) оказано 37532 государственные услуги (функции), в том числе:</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Алеутский муниципальный округ (624 жителя) – 2690 государственных услуг (функций);</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Олюторский муниципальный район (3569 жителей) – 9816 государственных услуг (функций);</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Тигильский муниципальный район (3668 жителей) – 9771 государственная услуга (функция);</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Соболевский муниципальный район (1988 жителей) – 2779 государственных услуг (функциЙ);</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Пенжинский муниципальный район (2026 жителей) – 7248 государственных услуг (функций);</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Карагинский муниципальный район (3403 жителя) – 5228 государственных услуг (функций).</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В состав «выездных бригад» входили специалисты:</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Министерства по делам местного самоуправления и развитию Корякского округа Камчатского края (взаимодействие с органами местного самоуправления по организации работы «выездной бригады», консультации органов местного самоуправления);</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Министерства здравоохранения Камчатского края (проведение медицинских осмотров (обследований), оказание экстренной медицинской помощи, выдача рекомендаций для проведения детального обследования в специализированных лечебных учреждениях Камчатского края);</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Министерства природных ресурсов и экологии Камчатского края (выдача разрешений на добычу пушных зверей и птиц, выдача (замена) охотничьих билетов);</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Министерства транспорта и дорожного строительства Камчатского края (проведение технических осмотров транспортных средств соответствующей категории, постановка на учет (снятие с учета) транспортных средств соответствующей категории, выдача (замена) удостоверений на право управления транспортными средствами соответствующей категории;</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Министерства цифрового развития Камчатского края (ремонт персональных компьютеров, настройка программного обеспечения, электронной почты, проверки на наличие вирусов и устранение последствий вирусных атак, настройка медицинского оборудования, фотографирование на документы).</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20"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2.4.</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Реализация мероприятий, направленных на снижение объемов потребления алкогольной продукции населением региона, в т.ч. в местах традиционного проживания и традиционной деятельности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2016–2025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экономического развития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В целях снижения масштабов злоупотребления алкогольной продукции в соответствии со статьей 16 Федерального закона № 171-ФЗ, постановлением Правительства Камчатского края от 28.03.2012 № 167-П (далее — постановление № 167-П) установлены дополнительные ограничения времени, условий и мест розничной продажи алкогольной продукции: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-Запрет на розничную продажу алкогольной продукции с 22 часов 00 минут до 10 часов 00 минут по местному времени.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-Запрет на розничную продажу алкогольной продукции в зданиях, строениях, сооружениях, в которых осуществляют деятельность: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-образовательные организации и индивидуальные предприниматели, осуществляющие образовательную деятельность (за исключением организаций дополнительного образования, организаций</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дополнительного профессионального образования);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-организации, осуществляющие обучение несовершеннолетних, и индивидуальные предприниматели, осуществляющие образовательную деятельность в отношении несовершеннолетних;  юридические лица независимо от организационно правовой формы и индивидуальные предприниматели, осуществляющие в качестве основного (уставного) вида деятельности медицинскую деятельность или осуществляющие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-Запрет на розничную продажу алкогольной продукции в зданиях, строениях, сооружениях, в которых размещены объекты спорта.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-Запрет на розничную продажу алкогольной продукции в зонах рекреационного назначения (в границах территорий, занятых скверами и парками, используемых и предназначенных для отдыха, туризма, занятий физической культурой и спортом).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-Запрет на розничную продажу алкогольной продукции в следующие праздничные дни: </w:t>
            </w:r>
          </w:p>
          <w:p>
            <w:pPr>
              <w:pStyle w:val="Normal"/>
              <w:widowControl w:val="false"/>
              <w:tabs>
                <w:tab w:val="clear" w:pos="708"/>
                <w:tab w:val="left" w:pos="0"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25 января — День студентов; </w:t>
            </w:r>
          </w:p>
          <w:p>
            <w:pPr>
              <w:pStyle w:val="Normal"/>
              <w:widowControl w:val="false"/>
              <w:tabs>
                <w:tab w:val="clear" w:pos="708"/>
                <w:tab w:val="left" w:pos="0"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1 июня — Международный день защиты детей;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последняя суббота июня — День молодежи;  1 сентября — День знаний либо иной день, в который проводятся торжественные линейки в общеобразовательных организациях, посвященные началу учебного года,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информационно-телекоммуникационной сети«Интернет» не позднее, чем за сутки до дня проведения мероприятий; </w:t>
            </w:r>
          </w:p>
          <w:p>
            <w:pPr>
              <w:pStyle w:val="Normal"/>
              <w:widowControl w:val="false"/>
              <w:tabs>
                <w:tab w:val="clear" w:pos="708"/>
                <w:tab w:val="left" w:pos="0" w:leader="none"/>
                <w:tab w:val="center" w:pos="3507"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11 сентября — Всероссийский день трезвости.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6. Запрет на розничную продажу алкогольной продукции в торговых объектах, находящихся: </w:t>
            </w:r>
          </w:p>
          <w:p>
            <w:pPr>
              <w:pStyle w:val="Normal"/>
              <w:widowControl w:val="false"/>
              <w:tabs>
                <w:tab w:val="clear" w:pos="708"/>
                <w:tab w:val="left" w:pos="0"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в нежилых помещениях, имеющих вход и (или) выход </w:t>
              <w:tab/>
              <w:t xml:space="preserve">для </w:t>
              <w:tab/>
              <w:t xml:space="preserve">посетителей </w:t>
              <w:tab/>
              <w:t xml:space="preserve">со </w:t>
              <w:tab/>
              <w:t xml:space="preserve">стороны коридоров, лестничных площадок многоквартирных домов;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-в нежилых помещениях многоквартирных домов, включая встроенные (встроено-пристроенные) нежилые помещения, и в пристроенных к многоквартирным домам нежилых помещениях, если вход и (или) выход в указанные нежилые помещения организован со стороны подъездов многоквартирных домов;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-в зданиях, в которых расположены студенческие общежития.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764"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2.7.</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Поддержка и развитие национальных видов спорта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спорта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kern w:val="0"/>
                <w:sz w:val="24"/>
                <w:szCs w:val="20"/>
              </w:rPr>
              <w:t xml:space="preserve">Национальные виды спорта закреплены Всероссийским реестром видов спорта, утвержденным приказом Министерства спорта РФ. На территории Камчатского края данные виды спорта не развиваются.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764"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2.8.</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Проведение первенства Камчатского края по Северному многоборью</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b w:val="false"/>
                <w:color w:val="000000"/>
                <w:spacing w:val="0"/>
                <w:kern w:val="0"/>
                <w:sz w:val="24"/>
                <w:szCs w:val="20"/>
              </w:rPr>
              <w:t xml:space="preserve">Министерство спорта Камчатского края: </w:t>
            </w:r>
          </w:p>
          <w:p>
            <w:pPr>
              <w:pStyle w:val="BodyText"/>
              <w:widowControl w:val="false"/>
              <w:suppressAutoHyphens w:val="true"/>
              <w:spacing w:lineRule="auto" w:line="240" w:before="0" w:after="0"/>
              <w:ind w:hanging="0" w:left="0" w:right="0"/>
              <w:jc w:val="both"/>
              <w:rPr/>
            </w:pPr>
            <w:r>
              <w:rPr>
                <w:rFonts w:ascii="Times New Roman" w:hAnsi="Times New Roman"/>
                <w:b w:val="false"/>
                <w:i w:val="false"/>
                <w:caps w:val="false"/>
                <w:smallCaps w:val="false"/>
                <w:color w:val="000000"/>
                <w:spacing w:val="0"/>
                <w:kern w:val="0"/>
                <w:sz w:val="24"/>
                <w:szCs w:val="20"/>
              </w:rPr>
              <w:t>С 3 по 5 марта 2023 года в Петропавловске-Камчатском проходило первенство Камчатского края по северному многоборью, среди юношей и девушек 14-15 лет и юниоров, юниорок 16-17 лет. Участие приняли спортсмены из муниципальных районов Камчатского края: Пенжинского, Мильковского, Олюторского, Тигитльского, Быстринского, Карагинского районов, а также из пгт Палана. Участники соревновались в следующих видах программы: Тройной национальный прыжок, бег с палкой, метание чаута, метание топора на дальность, прыжки через нарты. По итогам командного зачета сборная Пенжинского района заняла 1 место, представители Мильковского района заняли вторую позицию, спортсмены из Олюторского муниципального района получили бронзу первенства Камчатского края.</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01" w:hRule="atLeast"/>
        </w:trPr>
        <w:tc>
          <w:tcPr>
            <w:tcW w:w="1002"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rFonts w:ascii="Times New Roman" w:hAnsi="Times New Roman"/>
                <w:sz w:val="22"/>
              </w:rPr>
            </w:pPr>
            <w:r>
              <w:rPr>
                <w:rFonts w:ascii="Times New Roman" w:hAnsi="Times New Roman"/>
                <w:sz w:val="22"/>
              </w:rPr>
              <w:t>3.</w:t>
            </w:r>
          </w:p>
        </w:tc>
        <w:tc>
          <w:tcPr>
            <w:tcW w:w="13987" w:type="dxa"/>
            <w:gridSpan w:val="5"/>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Повышение доступа к образовательным услугам коренных малочисленных народов Севера, Сибири и Дальнего Востока Российской Федерации, проживающих в Камчатском крае (далее в настоящем разделе – коренные малочисленные народы)</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764"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3.1.</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Оказание содействия в выпуске новостей на языках коренных малочисленных народов на телеканалах «Россия 1» и «Россия 24», на «Радио России»</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развития гражданского общества и   молодежи Камчатского края: ежедневно по будням хронометражем 30 минут выходят новости на корякском языке в информационной программе «Вести-Камчатка» телеканала «Россия 1» ВГТРК ГТРК «Камчатка» (на собственные средства), которые транслируются по всему Камчатскому краю.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531"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3.3.</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Оказание содействия в издании газеты «Абориген Камчатки»</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развития гражданского общества и молодежи Камчатского края: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4"/>
                <w:kern w:val="0"/>
                <w:sz w:val="24"/>
                <w:szCs w:val="20"/>
              </w:rPr>
              <w:t xml:space="preserve">Министерство развития гражданского общества и молодежи Камчатского края осуществляет поддержку средств массовой информации, издаваемых (выпускаемых) на языках коренных малочисленных народов. Ежегодно из краевого бюджета предоставляется субсидия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4"/>
                <w:kern w:val="0"/>
                <w:sz w:val="24"/>
                <w:szCs w:val="20"/>
              </w:rPr>
              <w:t>Заключено соглашение в ГИИС «Электронный бюджет» о предоставлении из бюджета Камчатского края субсидии Автономной некоммерческой организации «Редакция газеты «Абориген Камчатки» от 26.06.2023 № № 40-2023-002243. В соответствии с Соглашением перечисление субсидии осуществлено в соответствии с планом-графиком перечисления субсидии.</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4"/>
                <w:kern w:val="0"/>
                <w:sz w:val="24"/>
                <w:szCs w:val="20"/>
              </w:rPr>
              <w:t>В текущем году субсидия составляет 500,0 тыс. рублей. Издано 6 номеров газеты «Абориген Камчатки» тиражом по 1000 экз.</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764"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3.4.</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Разработка и издание учебных пособий для обучающихся и учебно-методических пособий для учителей родных языков Камчатского края</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образования Камчатского края: </w:t>
            </w:r>
          </w:p>
          <w:p>
            <w:pPr>
              <w:pStyle w:val="Normal"/>
              <w:widowControl w:val="false"/>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 xml:space="preserve">В 2023 году в Санкт-Петербургском филиале издательства «Просвещение» в серии «Новый учебник Дальнего Востока» в рамках реализации Государственной программы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 по мероприятию 1.8.1 «Издание, приобретение и доставка учебной и учебно-методической литературы в образовательные организации в Камчатском крае» и на основании договора между КГАУ ДПО «Камчатский ИРО» и АО «Издательство «Просвещение» от 15.05.2023 № 150523-4 на поставку учебной литературы изданы: </w:t>
            </w:r>
          </w:p>
          <w:p>
            <w:pPr>
              <w:pStyle w:val="Normal"/>
              <w:widowControl w:val="false"/>
              <w:tabs>
                <w:tab w:val="clear" w:pos="708"/>
                <w:tab w:val="left" w:pos="0" w:leader="none"/>
              </w:tabs>
              <w:suppressAutoHyphens w:val="true"/>
              <w:spacing w:lineRule="auto" w:line="240" w:before="0" w:after="0"/>
              <w:ind w:hanging="0" w:left="0" w:right="30"/>
              <w:jc w:val="both"/>
              <w:rPr>
                <w:sz w:val="22"/>
              </w:rPr>
            </w:pPr>
            <w:r>
              <w:rPr>
                <w:rFonts w:ascii="Times New Roman" w:hAnsi="Times New Roman"/>
                <w:color w:val="000000"/>
                <w:spacing w:val="0"/>
                <w:kern w:val="0"/>
                <w:sz w:val="24"/>
                <w:szCs w:val="20"/>
              </w:rPr>
              <w:t>-Дедык В.Р., Сафонова Л.М. Рабочая тетрадь к учебному пособию на корякском языке «Букварь. 1 класс»;</w:t>
            </w:r>
          </w:p>
          <w:p>
            <w:pPr>
              <w:pStyle w:val="Normal"/>
              <w:widowControl w:val="false"/>
              <w:tabs>
                <w:tab w:val="clear" w:pos="708"/>
                <w:tab w:val="left" w:pos="0" w:leader="none"/>
              </w:tabs>
              <w:suppressAutoHyphens w:val="true"/>
              <w:spacing w:lineRule="auto" w:line="240" w:before="0" w:after="0"/>
              <w:ind w:hanging="0" w:left="0" w:right="30"/>
              <w:jc w:val="both"/>
              <w:rPr>
                <w:sz w:val="22"/>
              </w:rPr>
            </w:pPr>
            <w:r>
              <w:rPr>
                <w:rFonts w:ascii="Times New Roman" w:hAnsi="Times New Roman"/>
                <w:color w:val="000000"/>
                <w:spacing w:val="0"/>
                <w:kern w:val="0"/>
                <w:sz w:val="24"/>
                <w:szCs w:val="20"/>
              </w:rPr>
              <w:t xml:space="preserve">-Дедык В.Р., Сафонова Л.М. Рабочая тетрадь к учебному пособию </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«Корякский язык. 2 класс»;</w:t>
            </w:r>
          </w:p>
          <w:p>
            <w:pPr>
              <w:pStyle w:val="Normal"/>
              <w:widowControl w:val="false"/>
              <w:tabs>
                <w:tab w:val="clear" w:pos="708"/>
                <w:tab w:val="left" w:pos="0" w:leader="none"/>
              </w:tabs>
              <w:suppressAutoHyphens w:val="true"/>
              <w:spacing w:lineRule="auto" w:line="240" w:before="0" w:after="0"/>
              <w:ind w:hanging="0" w:left="0" w:right="30"/>
              <w:jc w:val="both"/>
              <w:rPr>
                <w:sz w:val="22"/>
              </w:rPr>
            </w:pPr>
            <w:r>
              <w:rPr>
                <w:rFonts w:ascii="Times New Roman" w:hAnsi="Times New Roman"/>
                <w:color w:val="000000"/>
                <w:spacing w:val="0"/>
                <w:kern w:val="0"/>
                <w:sz w:val="24"/>
                <w:szCs w:val="20"/>
              </w:rPr>
              <w:t xml:space="preserve">-Дедык В.Р., Сафонова Л.М. Рабочая тетрадь к учебному пособию </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«Корякский язык. 3 класс»;</w:t>
            </w:r>
          </w:p>
          <w:p>
            <w:pPr>
              <w:pStyle w:val="Normal"/>
              <w:widowControl w:val="false"/>
              <w:tabs>
                <w:tab w:val="clear" w:pos="708"/>
                <w:tab w:val="left" w:pos="0" w:leader="none"/>
              </w:tabs>
              <w:suppressAutoHyphens w:val="true"/>
              <w:spacing w:lineRule="auto" w:line="240" w:before="0" w:after="0"/>
              <w:ind w:hanging="0" w:left="0" w:right="30"/>
              <w:jc w:val="both"/>
              <w:rPr>
                <w:sz w:val="22"/>
              </w:rPr>
            </w:pPr>
            <w:r>
              <w:rPr>
                <w:rFonts w:ascii="Times New Roman" w:hAnsi="Times New Roman"/>
                <w:color w:val="000000"/>
                <w:spacing w:val="0"/>
                <w:kern w:val="0"/>
                <w:sz w:val="24"/>
                <w:szCs w:val="20"/>
              </w:rPr>
              <w:t>-Дедык В.Р., Сафонова Л.М. Рабочая тетрадь к учебному пособию «Корякский язык. 4 класс».</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Общее количество рабочих тетрадей - 400 экземпляров (по 100 экземпляров для каждого класса).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Финансовые расходы на издание и доставку учебных пособий в образовательные организации Камчатского края составили 2 500 000,00 рублей. </w:t>
            </w:r>
          </w:p>
          <w:p>
            <w:pPr>
              <w:pStyle w:val="Normal"/>
              <w:widowControl w:val="false"/>
              <w:tabs>
                <w:tab w:val="clear" w:pos="708"/>
                <w:tab w:val="center" w:pos="736" w:leader="none"/>
                <w:tab w:val="center" w:pos="1842" w:leader="none"/>
                <w:tab w:val="center" w:pos="3170" w:leader="none"/>
                <w:tab w:val="center" w:pos="4157" w:leader="none"/>
                <w:tab w:val="center" w:pos="5183" w:leader="none"/>
                <w:tab w:val="center" w:pos="6207" w:leader="none"/>
                <w:tab w:val="center" w:pos="7218" w:leader="none"/>
                <w:tab w:val="right" w:pos="8349"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Рабочие тетради </w:t>
              <w:tab/>
              <w:t xml:space="preserve">направлены, </w:t>
              <w:tab/>
              <w:t xml:space="preserve">в соответствии с </w:t>
              <w:tab/>
              <w:t xml:space="preserve">разнарядкой, </w:t>
              <w:tab/>
              <w:t>вобразовательные организации Корякского округа, в которых преподается корякский язык.</w:t>
            </w:r>
          </w:p>
          <w:p>
            <w:pPr>
              <w:pStyle w:val="Normal"/>
              <w:widowControl w:val="false"/>
              <w:suppressAutoHyphens w:val="true"/>
              <w:spacing w:lineRule="auto" w:line="240" w:before="0" w:after="0"/>
              <w:ind w:firstLine="317" w:left="0" w:right="218"/>
              <w:jc w:val="both"/>
              <w:rPr>
                <w:sz w:val="22"/>
              </w:rPr>
            </w:pPr>
            <w:r>
              <w:rPr>
                <w:rFonts w:ascii="Times New Roman" w:hAnsi="Times New Roman"/>
                <w:color w:val="000000"/>
                <w:spacing w:val="0"/>
                <w:kern w:val="0"/>
                <w:sz w:val="24"/>
                <w:szCs w:val="20"/>
              </w:rPr>
              <w:t>В издательстве Камчатского института развития образования в 2023 году опубликованы следующие учебно-методические пособия для учителей родных языков:</w:t>
            </w:r>
          </w:p>
          <w:p>
            <w:pPr>
              <w:pStyle w:val="Normal"/>
              <w:widowControl w:val="false"/>
              <w:tabs>
                <w:tab w:val="clear" w:pos="708"/>
                <w:tab w:val="left" w:pos="0"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-Дедык В.Р. Изучение лексики в корякском языке: методические рекомендации (электронное издание сетевого распространения) </w:t>
            </w:r>
            <w:hyperlink r:id="rId7">
              <w:r>
                <w:rPr>
                  <w:rFonts w:ascii="Times New Roman" w:hAnsi="Times New Roman"/>
                  <w:color w:val="000000"/>
                  <w:spacing w:val="0"/>
                  <w:kern w:val="0"/>
                  <w:sz w:val="24"/>
                  <w:szCs w:val="20"/>
                  <w:u w:val="single" w:color="0000FF"/>
                </w:rPr>
                <w:t>https://kamchatkairo.ru/images/books/DedykVR_Izuchenie_leksiki.pdf</w:t>
              </w:r>
            </w:hyperlink>
          </w:p>
          <w:p>
            <w:pPr>
              <w:pStyle w:val="Normal"/>
              <w:widowControl w:val="false"/>
              <w:tabs>
                <w:tab w:val="clear" w:pos="708"/>
                <w:tab w:val="left" w:pos="0"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-Дедык В.Р. Корякский язык для 7 класса: методические рекомендации к учебному пособию (электронное издание сетевого распространения) </w:t>
            </w:r>
            <w:hyperlink r:id="rId8">
              <w:r>
                <w:rPr>
                  <w:rFonts w:ascii="Times New Roman" w:hAnsi="Times New Roman"/>
                  <w:color w:val="000000"/>
                  <w:spacing w:val="0"/>
                  <w:kern w:val="0"/>
                  <w:sz w:val="24"/>
                  <w:szCs w:val="20"/>
                  <w:u w:val="single" w:color="0000FF"/>
                </w:rPr>
                <w:t>https://kamchatkairo.ru/images/books/Dedyk_Koryak_yazyk_7_klass.pdf</w:t>
              </w:r>
            </w:hyperlink>
          </w:p>
          <w:p>
            <w:pPr>
              <w:pStyle w:val="Normal"/>
              <w:widowControl w:val="false"/>
              <w:tabs>
                <w:tab w:val="clear" w:pos="708"/>
                <w:tab w:val="left" w:pos="0"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-Заева Т.К. Изучение глагола в ительменском языке: методические рекомендации (электронное издание сетевого распространения) </w:t>
            </w:r>
            <w:hyperlink r:id="rId9">
              <w:r>
                <w:rPr>
                  <w:rFonts w:ascii="Times New Roman" w:hAnsi="Times New Roman"/>
                  <w:color w:val="000000"/>
                  <w:spacing w:val="0"/>
                  <w:kern w:val="0"/>
                  <w:sz w:val="24"/>
                  <w:szCs w:val="20"/>
                  <w:u w:val="single" w:color="0000FF"/>
                </w:rPr>
                <w:t>https://kamchatkairo.ru/images/books/Zaeva_Glagol_itelmen.pdf</w:t>
              </w:r>
            </w:hyperlink>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Методические пособия размещены на официальном сайте Камчатского ИРО на странице «Методическая деятельность» в разделе «Родные языки КМНС. </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Учебно-методическое сопровождение».</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В  журнале «Камчатский педагогический вестник»  №1 (27) 2023 г. </w:t>
            </w:r>
          </w:p>
          <w:p>
            <w:pPr>
              <w:pStyle w:val="Normal"/>
              <w:widowControl w:val="false"/>
              <w:tabs>
                <w:tab w:val="clear" w:pos="708"/>
                <w:tab w:val="center" w:pos="736" w:leader="none"/>
                <w:tab w:val="center" w:pos="1842" w:leader="none"/>
                <w:tab w:val="center" w:pos="3170" w:leader="none"/>
                <w:tab w:val="center" w:pos="4157" w:leader="none"/>
                <w:tab w:val="center" w:pos="5183" w:leader="none"/>
                <w:tab w:val="center" w:pos="6207" w:leader="none"/>
                <w:tab w:val="center" w:pos="7218" w:leader="none"/>
                <w:tab w:val="right" w:pos="8349" w:leader="none"/>
              </w:tabs>
              <w:suppressAutoHyphens w:val="true"/>
              <w:spacing w:lineRule="auto" w:line="240" w:before="0" w:after="0"/>
              <w:ind w:hanging="0" w:left="0" w:right="0"/>
              <w:jc w:val="left"/>
              <w:rPr>
                <w:sz w:val="22"/>
              </w:rPr>
            </w:pPr>
            <w:hyperlink r:id="rId10">
              <w:r>
                <w:rPr>
                  <w:rFonts w:ascii="Times New Roman" w:hAnsi="Times New Roman"/>
                  <w:color w:val="000000"/>
                  <w:spacing w:val="0"/>
                  <w:kern w:val="0"/>
                  <w:sz w:val="24"/>
                  <w:szCs w:val="20"/>
                  <w:u w:val="single" w:color="0000FF"/>
                </w:rPr>
                <w:t>https://kamchatkairo.ru/images/institute/izdat/KPV/KPV_2023_1_27.pdf</w:t>
              </w:r>
            </w:hyperlink>
            <w:hyperlink r:id="rId11">
              <w:r>
                <w:rPr>
                  <w:rFonts w:ascii="Times New Roman" w:hAnsi="Times New Roman"/>
                  <w:color w:val="000000"/>
                  <w:spacing w:val="0"/>
                  <w:kern w:val="0"/>
                  <w:sz w:val="24"/>
                  <w:szCs w:val="20"/>
                </w:rPr>
                <w:t xml:space="preserve"> </w:t>
              </w:r>
            </w:hyperlink>
            <w:r>
              <w:rPr>
                <w:rFonts w:ascii="Times New Roman" w:hAnsi="Times New Roman"/>
                <w:color w:val="000000"/>
                <w:spacing w:val="0"/>
                <w:kern w:val="0"/>
                <w:sz w:val="24"/>
                <w:szCs w:val="20"/>
              </w:rPr>
              <w:t xml:space="preserve">опубликованы материалы учителя ительменского языка Ковранской средней школы (с. Ковран, Тигильский район) Заевой Т.К. «Ительмены – дети Кутха». В публикации представлен опыт организации работы по изучению ительменского языка в общеобразовательной школе и конспект урока ительменского языка, проведенный участницей Всероссийского профессионального конкурса «Лучший учитель родного языка и родной литературы» в 2022 году. В  журнале «Камчатский педагогический вестник» №2 (28) 2023 г. </w:t>
            </w:r>
            <w:hyperlink r:id="rId12">
              <w:r>
                <w:rPr>
                  <w:rFonts w:ascii="Times New Roman" w:hAnsi="Times New Roman"/>
                  <w:color w:val="000000"/>
                  <w:spacing w:val="0"/>
                  <w:kern w:val="0"/>
                  <w:sz w:val="24"/>
                  <w:szCs w:val="20"/>
                  <w:u w:val="single" w:color="0000FF"/>
                </w:rPr>
                <w:t xml:space="preserve">https://kamchatkairo.ru/images/institute/izdat/KPV/KPV_2023_2_28.pdf </w:t>
              </w:r>
            </w:hyperlink>
            <w:r>
              <w:rPr>
                <w:rFonts w:ascii="Times New Roman" w:hAnsi="Times New Roman"/>
                <w:color w:val="000000"/>
                <w:spacing w:val="0"/>
                <w:kern w:val="0"/>
                <w:sz w:val="24"/>
                <w:szCs w:val="20"/>
              </w:rPr>
              <w:t>в рамках Года педагога и наставника опубликованы статьи:</w:t>
            </w:r>
          </w:p>
          <w:p>
            <w:pPr>
              <w:pStyle w:val="Normal"/>
              <w:widowControl w:val="false"/>
              <w:numPr>
                <w:ilvl w:val="0"/>
                <w:numId w:val="1"/>
              </w:numPr>
              <w:suppressAutoHyphens w:val="true"/>
              <w:spacing w:lineRule="auto" w:line="240" w:before="0" w:after="0"/>
              <w:ind w:hanging="140" w:left="140" w:right="0"/>
              <w:jc w:val="left"/>
              <w:rPr>
                <w:sz w:val="22"/>
              </w:rPr>
            </w:pPr>
            <w:r>
              <w:rPr>
                <w:rFonts w:ascii="Times New Roman" w:hAnsi="Times New Roman"/>
                <w:color w:val="000000"/>
                <w:spacing w:val="0"/>
                <w:kern w:val="0"/>
                <w:sz w:val="24"/>
                <w:szCs w:val="20"/>
              </w:rPr>
              <w:t xml:space="preserve">Волков А.И. Мои наставники </w:t>
            </w:r>
          </w:p>
          <w:p>
            <w:pPr>
              <w:pStyle w:val="Normal"/>
              <w:widowControl w:val="false"/>
              <w:tabs>
                <w:tab w:val="clear" w:pos="708"/>
                <w:tab w:val="center" w:pos="736" w:leader="none"/>
                <w:tab w:val="center" w:pos="1842" w:leader="none"/>
                <w:tab w:val="center" w:pos="3170" w:leader="none"/>
                <w:tab w:val="center" w:pos="4157" w:leader="none"/>
                <w:tab w:val="center" w:pos="5183" w:leader="none"/>
                <w:tab w:val="center" w:pos="6207" w:leader="none"/>
                <w:tab w:val="center" w:pos="7218" w:leader="none"/>
                <w:tab w:val="right" w:pos="8349" w:leader="none"/>
              </w:tabs>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Дедык В. Р. Мама – мой главный наставник</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764"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3.5.</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Проведение ежегодного единого дня диктанта на родных языках и конкурса «Я и моя семья представители этноса Корякии», посвященного Международному дню родных языков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2021–2025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В феврале 2023 года в образовательных организациях Камчатского края под эгидой АКМНСС и ДВ РФ организован и проведен IV Этнодиктант на родных языках коренных малочисленных народов Севера, Сибири и Дальнего Востока </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Российской Федерации с международным участие, приуроченный к Международному Дню родных языков и Международному Десятилетию языков коренных народов. </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 xml:space="preserve">Этнодиктант проведен на корякском, эвенском, ительменском и чукотском языках. Всего приняло участие 179 участников, из них: 143 участника диктанта на корякском языке, 16– на эвенском языке, 15 – на ительменском языке, 5 – на чукотском языке. </w:t>
            </w:r>
          </w:p>
          <w:p>
            <w:pPr>
              <w:pStyle w:val="Normal"/>
              <w:widowControl w:val="false"/>
              <w:suppressAutoHyphens w:val="true"/>
              <w:spacing w:lineRule="auto" w:line="240" w:before="0" w:after="0"/>
              <w:ind w:hanging="0" w:left="0" w:right="108"/>
              <w:jc w:val="both"/>
              <w:rPr>
                <w:sz w:val="22"/>
              </w:rPr>
            </w:pPr>
            <w:r>
              <w:rPr>
                <w:rFonts w:ascii="Times New Roman" w:hAnsi="Times New Roman"/>
                <w:color w:val="000000"/>
                <w:spacing w:val="0"/>
                <w:kern w:val="0"/>
                <w:sz w:val="24"/>
                <w:szCs w:val="20"/>
              </w:rPr>
              <w:t xml:space="preserve">18-19 декабря 2023 г. в рамках Международного десятилетия языков коренных народов в Камчатском крае проведен Всероссийский этнолингвокультурологический диктант на языках коренных малочисленных народов Севера, Сибири и Дальнего Востока РФ.  В написании диктанта приняло участие 36 обучающихся и два учителя. Из них, на корякском языке диктант писали 25 обучающихся из семи образовательных организаций (МКОУ «Ачайваямская средняя школа» (учитель - Сафонова Лидия Михайловна),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МКОУ «Хаилинская средняя школа» (учитель - Нюрчани Евгения Ивановна), МКОУ «Среднепахачинская средняя школа» (учитель - Кульу Агриппина </w:t>
            </w:r>
          </w:p>
          <w:p>
            <w:pPr>
              <w:pStyle w:val="Normal"/>
              <w:widowControl w:val="false"/>
              <w:suppressAutoHyphens w:val="true"/>
              <w:spacing w:lineRule="auto" w:line="240" w:before="0" w:after="0"/>
              <w:ind w:hanging="0" w:left="0" w:right="108"/>
              <w:jc w:val="both"/>
              <w:rPr>
                <w:sz w:val="22"/>
              </w:rPr>
            </w:pPr>
            <w:r>
              <w:rPr>
                <w:rFonts w:ascii="Times New Roman" w:hAnsi="Times New Roman"/>
                <w:color w:val="000000"/>
                <w:spacing w:val="0"/>
                <w:kern w:val="0"/>
                <w:sz w:val="24"/>
                <w:szCs w:val="20"/>
              </w:rPr>
              <w:t>Николаевна), МБОУ «Лесновская основная общеобразовательная школа» (учитель - Яганова Владислава Константиновна), МКОУ «Таловская средняя школа» (учитель - Кечгилхот Любовь Сергеевна), МБОУ «Манильская средняя школа» (учитель - Пятникова Людмила Николаевна, МКОУ «СОШ  № 1 пгт. Палана» (учитель - Сотрудинова Елена Ивановна); на ительменском языке писали диктант 11 обучающихся и два учителя МБОУ «Ковранская средняя школа» (учитель - Хан Жанна Юрьевна).</w:t>
            </w:r>
          </w:p>
          <w:p>
            <w:pPr>
              <w:pStyle w:val="Normal"/>
              <w:widowControl w:val="false"/>
              <w:suppressAutoHyphens w:val="true"/>
              <w:spacing w:lineRule="auto" w:line="240" w:before="0" w:after="0"/>
              <w:ind w:hanging="0" w:left="0" w:right="108"/>
              <w:jc w:val="both"/>
              <w:rPr>
                <w:sz w:val="22"/>
              </w:rPr>
            </w:pPr>
            <w:r>
              <w:rPr>
                <w:rFonts w:ascii="Times New Roman" w:hAnsi="Times New Roman"/>
                <w:color w:val="000000"/>
                <w:spacing w:val="0"/>
                <w:kern w:val="0"/>
                <w:sz w:val="24"/>
                <w:szCs w:val="20"/>
              </w:rPr>
              <w:t>Инициатором Всероссийского этнолингвокультурологического диктанта выступил Институт народов Севера Российского государственного педагогического университета им. А.И. Герцена.</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3.6.</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подготовки кадров по профессиям (специальностям), связанным с осуществлением традиционных видов хозяйственной деятельности</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hyperlink r:id="rId13">
              <w:r>
                <w:rPr>
                  <w:rFonts w:ascii="Times New Roman" w:hAnsi="Times New Roman"/>
                  <w:color w:val="000000"/>
                  <w:spacing w:val="0"/>
                  <w:kern w:val="0"/>
                  <w:sz w:val="24"/>
                  <w:szCs w:val="20"/>
                </w:rPr>
                <w:t>Министерство труда и развития кадрового потенциала Камчатского края</w:t>
              </w:r>
            </w:hyperlink>
            <w:r>
              <w:rPr>
                <w:rFonts w:ascii="Times New Roman" w:hAnsi="Times New Roman"/>
                <w:color w:val="000000"/>
                <w:spacing w:val="0"/>
                <w:kern w:val="0"/>
                <w:sz w:val="24"/>
                <w:szCs w:val="20"/>
              </w:rPr>
              <w:t>: В 2023 году государственная служба занятости населения осуществляла работу, направленную на популяризацию профессий, связанных с осуществлением традиционных видов хозяйственной деятельности, и профессиональную подготовку безработных граждан по указанным профессиям.</w:t>
            </w:r>
          </w:p>
          <w:p>
            <w:pPr>
              <w:pStyle w:val="Normal"/>
              <w:widowControl w:val="false"/>
              <w:suppressAutoHyphens w:val="true"/>
              <w:spacing w:lineRule="auto" w:line="240" w:before="0" w:after="0"/>
              <w:ind w:hanging="0" w:left="0" w:right="0"/>
              <w:contextualSpacing/>
              <w:jc w:val="both"/>
              <w:rPr>
                <w:sz w:val="22"/>
              </w:rPr>
            </w:pPr>
            <w:r>
              <w:rPr>
                <w:rFonts w:ascii="Times New Roman" w:hAnsi="Times New Roman"/>
                <w:color w:val="000000"/>
                <w:spacing w:val="0"/>
                <w:kern w:val="0"/>
                <w:sz w:val="24"/>
                <w:szCs w:val="20"/>
              </w:rPr>
              <w:t>В рамках профориентационных мероприятий гражданам оказываются профконсультации, проводится профдиагностика, где в соответствии с интересами и способностями гражданина подбираются оптимально подходящие профессии (специальности), оказывается помощь в выборе профессиональных образовательных организаций, предоставляется информация о потребностях рынка труда, возможностях трудоустройства в оленеводческой отрасли и прохождении профессионального обучения в КГПОБУ «Паланский колледж».</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В 2023 году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 органами службы занятости населения обеспечивалась реализация мероприятий активной политики занятости населения. В 2023 году государственную услугу по профессиональному обучению и дополнительному профессиональному образованию получили 3 безработных гражданина из числа коренных народов по направлениям подготовки: «Бухгалтерский учет в коммерческих организациях», «Кладовщик со знанием 1С: Торговля – склад», «Водитель погрузчика категории С»</w:t>
            </w:r>
          </w:p>
          <w:p>
            <w:pPr>
              <w:pStyle w:val="Normal"/>
              <w:widowControl w:val="false"/>
              <w:suppressAutoHyphens w:val="true"/>
              <w:spacing w:lineRule="auto" w:line="240" w:before="0" w:after="0"/>
              <w:ind w:hanging="0" w:left="0" w:right="0"/>
              <w:jc w:val="both"/>
              <w:rPr>
                <w:rFonts w:ascii="Times New Roman" w:hAnsi="Times New Roman"/>
                <w:color w:val="000000"/>
                <w:sz w:val="24"/>
              </w:rPr>
            </w:pPr>
            <w:r>
              <w:rPr>
                <w:rFonts w:ascii="Times New Roman" w:hAnsi="Times New Roman"/>
                <w:color w:val="000000"/>
                <w:sz w:val="24"/>
              </w:rPr>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3.7.</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подготовки граждан на условиях целевой подготовки для дальнейшего трудоустройства в местах традиционного проживания и традиционной хозяйственной деятельности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труда и развития кадрового потенциала Камчатского края: В рамках заключенных с Министерством труда и развития кадрового потенциала Камчатского края договоров о целевом обучении проходят обучение в образовательной организации высшего образования по направлению подготовки «Народная художественная культура» </w:t>
            </w:r>
            <w:bookmarkStart w:id="3" w:name="_GoBack_Копия_1_Копия_1"/>
            <w:bookmarkEnd w:id="3"/>
            <w:r>
              <w:rPr>
                <w:rFonts w:ascii="Times New Roman" w:hAnsi="Times New Roman"/>
                <w:color w:val="000000"/>
                <w:spacing w:val="0"/>
                <w:kern w:val="0"/>
                <w:sz w:val="24"/>
                <w:szCs w:val="20"/>
              </w:rPr>
              <w:t>2 гражданина, относящихся к категории коренных народов, для дальнейшего трудоустройства в КГБУ «Корякский фольклорный ансамбль танца «Ангт» имени Иосифа Жукова».</w:t>
            </w:r>
          </w:p>
          <w:p>
            <w:pPr>
              <w:pStyle w:val="Normal"/>
              <w:widowControl w:val="false"/>
              <w:suppressAutoHyphens w:val="true"/>
              <w:spacing w:lineRule="auto" w:line="240" w:before="0" w:after="0"/>
              <w:ind w:hanging="0" w:left="0" w:right="0"/>
              <w:contextualSpacing/>
              <w:jc w:val="both"/>
              <w:rPr>
                <w:sz w:val="22"/>
              </w:rPr>
            </w:pPr>
            <w:r>
              <w:rPr>
                <w:rFonts w:ascii="Times New Roman" w:hAnsi="Times New Roman"/>
                <w:color w:val="000000"/>
                <w:spacing w:val="0"/>
                <w:kern w:val="0"/>
                <w:sz w:val="24"/>
                <w:szCs w:val="20"/>
              </w:rPr>
              <w:t>В целях обеспечения кадрами ГУП «ПО Камчатоленпром», осуществляющего свою деятельность на территории Олюторского и Пенжинского районов, в 2023 году организовано целевое обучение для 2 граждан по специальности «Ветеринария» (обучение в ФГБОУ ВО «Санкт-Петербургский государственный университет ветеринарной медицины»)</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3.9.</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Проведение конференций, семинаров, круглых столов и других мероприятий в сфере социально-экономического и культурного развития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Министерство развития гражданского общества и молодежи:</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1.)03 февраля 2023 года Ассоциацией коренных малочисленных народов Севера Камчатского края проводился Форум коренных малочисленных народов Севера, Сибири и Дальнего Востока Российской Федерации, проживающих в Камчатском крае, посвященный I съезду коренных малочисленных народов Севера Камчатского края и 15-летию со дня образования Ассоциации коренных малочисленных народов Севера Камчатского края.Форум проведен при поддержке Министерства развития гражданского общества и молодежи Камчатского края. В рамках форума состоялось обсуждение вопросов обеспечения прав коренных малочисленных народов, защиты исконной среды обитания, сохранения и развития традиционного образа жизни и традиционной хозяйственной деятельности коренных малочисленных народов.</w:t>
            </w:r>
          </w:p>
          <w:p>
            <w:pPr>
              <w:pStyle w:val="Normal"/>
              <w:widowControl w:val="false"/>
              <w:suppressAutoHyphens w:val="true"/>
              <w:spacing w:lineRule="auto" w:line="240" w:before="0" w:after="0"/>
              <w:ind w:hanging="0" w:left="0" w:right="0"/>
              <w:jc w:val="both"/>
              <w:rPr>
                <w:sz w:val="22"/>
              </w:rPr>
            </w:pPr>
            <w:r>
              <w:rPr>
                <w:rFonts w:ascii="Times New Roman" w:hAnsi="Times New Roman"/>
                <w:b w:val="false"/>
                <w:color w:val="000000"/>
                <w:spacing w:val="0"/>
                <w:kern w:val="0"/>
                <w:sz w:val="24"/>
                <w:szCs w:val="20"/>
              </w:rPr>
              <w:t>2.)31 марта 2023 г. прошел Семинар для представителей коренных малочисленных народов Севера, Сибири и Дальнего Востока Российской Федерации, проживающих в Камчатском крае,и их объединений по вопросам правоприминения законодательства, регулирующего правоотношения с сфере традиционного природопользования. В работе семинара приняли участие руководители и специалисты федеральных и исполнительных органов власти: Федеральной налоговой службы, Управления Минюста России по Камчатскому краю, Отделения Социального фонда России по Камчатскому краю, Росрыболовства, ФГБНУ «КамчатНИРО», Центра ГИМС МЧС России по Камчатскому краю, Агентства лесного хозяйства и охраны животного мира Камчатского края, Агентства по ветеринарии Камчатского края, Министерства природных ресурсов и экологии Камчатского края.</w:t>
            </w:r>
          </w:p>
          <w:p>
            <w:pPr>
              <w:pStyle w:val="Normal"/>
              <w:widowControl w:val="false"/>
              <w:suppressAutoHyphens w:val="true"/>
              <w:spacing w:lineRule="auto" w:line="240" w:before="0" w:after="0"/>
              <w:ind w:hanging="0" w:left="0" w:right="0"/>
              <w:jc w:val="both"/>
              <w:rPr>
                <w:sz w:val="22"/>
              </w:rPr>
            </w:pPr>
            <w:r>
              <w:rPr>
                <w:rFonts w:ascii="Times New Roman" w:hAnsi="Times New Roman"/>
                <w:b w:val="false"/>
                <w:color w:val="000000"/>
                <w:spacing w:val="0"/>
                <w:kern w:val="0"/>
                <w:sz w:val="24"/>
                <w:szCs w:val="20"/>
              </w:rPr>
              <w:t>3</w:t>
            </w:r>
            <w:r>
              <w:rPr>
                <w:rFonts w:ascii="Times New Roman" w:hAnsi="Times New Roman"/>
                <w:color w:val="000000"/>
                <w:spacing w:val="0"/>
                <w:kern w:val="0"/>
                <w:sz w:val="24"/>
                <w:szCs w:val="20"/>
              </w:rPr>
              <w:t>) 16 мая 2023 года прошел «круглый стол» по вопросам предоставления государственной услуги по учету коренных малочисленных народов Российской Федерации, дополнения Единого перечня коренных малочисленных народов Российской Федерации позициями, касающимися самоназваний коренных малочисленных народов Севера коряки - (нымыланы, чавчувены), чукчи – (луораветланы).</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4) В рамках Международной научно-практической конференции «Региональные проблемы развития Дальнего Востока и Арктики (III Моисеевские чтения) состоялся круглый стол «Нематериальное достояние: как сохранить культуру и родные языки коренных малочисленных народов». Обсудили следующие вопросы: Применение информационных технологий в сохранении нематериального этнокультурного достояния Камчатского края;Опыт работы учреждений культуры в сохранении и популяризации нематериального этнокультурного достояния; Сохранения языков в современных условиях; Меры государственной поддержки в сохранении традиционной культуры.</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3.11.</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Создание и обеспечение деятельности этнокультурных и культурно-просветительских центров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2021–2025 годы</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132"/>
              <w:contextualSpacing/>
              <w:jc w:val="both"/>
              <w:rPr>
                <w:sz w:val="22"/>
              </w:rPr>
            </w:pPr>
            <w:r>
              <w:rPr>
                <w:rFonts w:ascii="Times New Roman" w:hAnsi="Times New Roman"/>
                <w:color w:val="000000"/>
                <w:spacing w:val="-1"/>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132"/>
              <w:contextualSpacing/>
              <w:jc w:val="both"/>
              <w:rPr>
                <w:sz w:val="22"/>
              </w:rPr>
            </w:pPr>
            <w:r>
              <w:rPr>
                <w:rFonts w:ascii="Times New Roman" w:hAnsi="Times New Roman"/>
                <w:color w:val="000000"/>
                <w:spacing w:val="-1"/>
                <w:kern w:val="0"/>
                <w:sz w:val="24"/>
                <w:szCs w:val="20"/>
              </w:rPr>
              <w:t>на территории региона действуют Этнокультурные центры в количестве 3 единиц: МБУК ЭКЦ «Мэнэдек», МКУК ПРЭЦ «Дорова», МКУК «Манильский этноцентр «Эчгат».</w:t>
            </w:r>
          </w:p>
          <w:p>
            <w:pPr>
              <w:pStyle w:val="Normal"/>
              <w:widowControl w:val="false"/>
              <w:suppressAutoHyphens w:val="true"/>
              <w:spacing w:lineRule="auto" w:line="240" w:before="0" w:after="0"/>
              <w:ind w:hanging="0" w:left="0" w:right="132"/>
              <w:contextualSpacing/>
              <w:jc w:val="both"/>
              <w:rPr>
                <w:sz w:val="22"/>
              </w:rPr>
            </w:pPr>
            <w:r>
              <w:rPr>
                <w:rFonts w:ascii="Times New Roman" w:hAnsi="Times New Roman"/>
                <w:color w:val="000000"/>
                <w:spacing w:val="-1"/>
                <w:kern w:val="0"/>
                <w:sz w:val="24"/>
                <w:szCs w:val="20"/>
              </w:rPr>
              <w:t>При учреждениях культуры работают творческие мастерские: «Уйирит» при МБУК «Фольклорный ительменский ансамбль  «Эльвель», «Очидяк» при МБУК ЭКЦ «Мэнэдек», «Дорова» и «Эчгат», «Кыллыль-гымнын, лымн,ыль» при сельском доме культуры.</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3.13.</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1"/>
                <w:kern w:val="0"/>
                <w:sz w:val="24"/>
                <w:szCs w:val="20"/>
              </w:rPr>
              <w:t>Организация и обеспечение деятельности отделения «Народное художественное творчество» по видам «Этнохудожественное творчество», «Хореографическое творчество» (направление «Северный танец») КГБПОУ «Камчатский колледж искусств»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1"/>
                <w:kern w:val="0"/>
                <w:sz w:val="24"/>
                <w:szCs w:val="20"/>
              </w:rPr>
              <w:t>2021–2025 годы</w:t>
            </w:r>
          </w:p>
          <w:p>
            <w:pPr>
              <w:pStyle w:val="Normal"/>
              <w:widowControl w:val="false"/>
              <w:suppressAutoHyphens w:val="true"/>
              <w:spacing w:lineRule="auto" w:line="240" w:before="0" w:after="0"/>
              <w:ind w:hanging="0" w:left="0" w:right="0"/>
              <w:jc w:val="center"/>
              <w:rPr>
                <w:rFonts w:ascii="Times New Roman" w:hAnsi="Times New Roman"/>
                <w:color w:val="000000"/>
                <w:spacing w:val="-1"/>
                <w:sz w:val="24"/>
              </w:rPr>
            </w:pPr>
            <w:r>
              <w:rPr>
                <w:rFonts w:ascii="Times New Roman" w:hAnsi="Times New Roman"/>
                <w:color w:val="000000"/>
                <w:spacing w:val="-1"/>
                <w:sz w:val="24"/>
              </w:rPr>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132"/>
              <w:contextualSpacing/>
              <w:jc w:val="both"/>
              <w:rPr>
                <w:sz w:val="22"/>
              </w:rPr>
            </w:pPr>
            <w:r>
              <w:rPr>
                <w:rFonts w:ascii="Times New Roman" w:hAnsi="Times New Roman"/>
                <w:color w:val="000000"/>
                <w:spacing w:val="-1"/>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132"/>
              <w:contextualSpacing/>
              <w:jc w:val="both"/>
              <w:rPr>
                <w:sz w:val="22"/>
              </w:rPr>
            </w:pPr>
            <w:r>
              <w:rPr>
                <w:rFonts w:ascii="Times New Roman" w:hAnsi="Times New Roman"/>
                <w:color w:val="000000"/>
                <w:spacing w:val="-1"/>
                <w:kern w:val="0"/>
                <w:sz w:val="24"/>
                <w:szCs w:val="20"/>
              </w:rPr>
              <w:t>в колледже искусств реализуются образовательные программы по специальности 51.02.01 «Народное художественное творчество» (по видам). Продолжается обучение студентов из числа коренных малочисленных народов Крайнего Севера по направлению специальности «Северный танец» с углубленным изучением видов национального северного танца, композиции постановки танца. Обучающиеся - представители малочисленных народностей Севера из отдаленных районов Камчатского края. В 2023 году прошел очередной выпуск студентов данного направления обучения.  В 2023 году произведен набор на данный вид специальности, в рамках которого продолжает свое творчество студенческий ансамбль национального танца "Уйкоаль".</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3.14.</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Проведение мониторинга преподавания национальных языков коренных малочисленных народов и предметов этнокультурной направленности в образовательных организациях в Камчатском крае</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Министерство образования Камчатского края: По итогам мониторинга изучения родных языков коренных малочисленных народов Севера, Сибири и Дальнего Востока Российской Федерации в образовательных организациях Камчатского края  в 2023/2024 учебном году, проведенного в рамках федерального мониторинга состояния и развития языков народов Российской Федерации в системе образования (сентябрь 2023 г.), в трех образовательных организациях Тигильского муниципального района  и одной образовательной организации Быстринского муниципального района 77 дошкольников изучают родные языки КМНС:</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35 обучающийся изучает корякский язык в 2 образовательных организациях (МБДОУ «Тигильский детский сад «Каюмка», МКОУ  «Хаилинская средняя школа» (1 ступень - дошкольное образование); 26 обучающихся изучают эвенский язык в одной образовательной организации (МБДОУ «Детский сад «Родничок с. Анавгай);</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- 16 обучающихся изучают ительменский язык в одной образовательной организации (МБДОУ «Ковранский детский сад «Ийаночх»).</w:t>
            </w:r>
          </w:p>
          <w:p>
            <w:pPr>
              <w:pStyle w:val="Normal"/>
              <w:widowControl w:val="false"/>
              <w:tabs>
                <w:tab w:val="clear" w:pos="708"/>
                <w:tab w:val="left" w:pos="0" w:leader="none"/>
              </w:tabs>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Предметные области «Родной язык и Литературное чтение на родном языке» и «Родной язык и Родная литература» реализуются в 13 образовательных организациях (далее – ОО) шести муниципальных образований Камчатского края: Пенжинском муниципальном районе в 3 ОО, Олюторском муниципальном районе в 4 ОО, Карагинском муниципальном районе в 1 ОО, Тигильском муниципальном районе в 3 ОО, Быстринском муниципальном районе в 1 ОО, городском округе «поселок Палана» в 1 ОО. В одной школе (муниципальное казенное общеобразовательное учреждение «Аянкинская средняя школа»)  из 13 образовательных организаций изучаются два языка (эвенский и чукотский).</w:t>
            </w:r>
          </w:p>
          <w:p>
            <w:pPr>
              <w:pStyle w:val="Normal"/>
              <w:widowControl w:val="false"/>
              <w:tabs>
                <w:tab w:val="clear" w:pos="708"/>
                <w:tab w:val="left" w:pos="0" w:leader="none"/>
              </w:tabs>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Корякский язык изучают 501 обучающийся в 11 образовательных организациях: МКОУ «Слаутнинская средняя школа», МКОУ «Таловская средняя школа», МКОУ «Средняя общеобразовательная школа №1 пгт. Палана», МКОУ «Хаилинская средняя школа», МКОУ «Ачайваямская средняя школа», МКОУ «Среднепахачинская средняя школа», МКОУ «Апукская средняя школа», МБОУ «Карагинская основная школа», МБОУ «Воямпольская средняя общеобразовательная школа», МБОУ «Лесновская основная общеобразовательная школа», МБОУ «Седанкинская средняяобщеобразовательная школа».</w:t>
            </w:r>
          </w:p>
          <w:p>
            <w:pPr>
              <w:pStyle w:val="Normal"/>
              <w:widowControl w:val="false"/>
              <w:tabs>
                <w:tab w:val="clear" w:pos="708"/>
                <w:tab w:val="left" w:pos="0" w:leader="none"/>
              </w:tabs>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Эвенский язык изучают 95 обучающихся  в двух образовательных организациях: МКОУ  «Аянкинская средняя школа» и МБОУ «Анавгайская средняя общеобразовательная школа».</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Чукотский язык  изучают 17 обучающихся в одной образовательной организации: МКОУ  «Аянкинская средняя школа».</w:t>
            </w:r>
          </w:p>
          <w:p>
            <w:pPr>
              <w:pStyle w:val="Normal"/>
              <w:widowControl w:val="false"/>
              <w:tabs>
                <w:tab w:val="clear" w:pos="708"/>
                <w:tab w:val="left" w:pos="0" w:leader="none"/>
              </w:tabs>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 xml:space="preserve">Всего 613 обучающийся изучают родной язык КМНС как предмет. Из них 501 обучающихся или 81,73% от всех, изучающих родной язык КМНС, изучают корякский язык; 95 обучающихся (или 15,5 %) – эвенский язык, 17 обучающихся (или 2,77%) – чукотский язык.В девяти образовательных организациях родные языки (корякский, ительменский и эвенский языки) изучают в рамках факультативных занятий  и внеурочной деятельности 291 обучающихся: 243 обучающихся изучают корякский язык (в 6 ОО), 31 обучающихся  изучают ительменский язык (в 2 ОО), 17 обучающихся изучают эвенский язык (в 1 ОО). </w:t>
            </w:r>
          </w:p>
          <w:p>
            <w:pPr>
              <w:pStyle w:val="Normal"/>
              <w:widowControl w:val="false"/>
              <w:tabs>
                <w:tab w:val="clear" w:pos="708"/>
                <w:tab w:val="left" w:pos="0" w:leader="none"/>
              </w:tabs>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В рамках факультативных занятий и внеурочной деятельности корякскийязык изучают в следующих образовательных организациях: КГОБУ «Тиличикская школа-интернат для обучающихся с ограниченными возможностями здоровья», МКОУ «Каменская средняя школа», МКОУ «Манильская средняя школа», МКОУ «Средняя общеобразовательная школа №1 пгт. Палана», МКОУ «Апукская средняя школа», МБОУ «Тымлатская средняя школа».</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Ительменский язык изучают в МБОУ «Ковранская средняя школа» и МБОУ «Тигильская средняя общеобразовательная школа».</w:t>
            </w:r>
          </w:p>
          <w:p>
            <w:pPr>
              <w:pStyle w:val="Normal"/>
              <w:widowControl w:val="false"/>
              <w:tabs>
                <w:tab w:val="clear" w:pos="708"/>
                <w:tab w:val="left" w:pos="0"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Эвенский </w:t>
              <w:tab/>
              <w:t xml:space="preserve">язык </w:t>
              <w:tab/>
              <w:t xml:space="preserve">изучают </w:t>
              <w:tab/>
              <w:t xml:space="preserve">в </w:t>
              <w:tab/>
              <w:t xml:space="preserve">МБОУ </w:t>
              <w:tab/>
              <w:t xml:space="preserve">«Анавгайская </w:t>
              <w:tab/>
              <w:t>средняя общеобразовательная школа».</w:t>
            </w:r>
          </w:p>
          <w:p>
            <w:pPr>
              <w:pStyle w:val="Normal"/>
              <w:widowControl w:val="false"/>
              <w:tabs>
                <w:tab w:val="clear" w:pos="708"/>
                <w:tab w:val="left" w:pos="0" w:leader="none"/>
              </w:tabs>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Таким образом, изучением родных языков КМНС в урочной и внеурочной деятельности занимаются 904 обучающихся Пенжинского, Олюторского, Тигильского, Карагинского, Быстринского муниципальных районов и городском округе «поселок Палана».</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w:t>
            </w:r>
          </w:p>
        </w:tc>
        <w:tc>
          <w:tcPr>
            <w:tcW w:w="13987" w:type="dxa"/>
            <w:gridSpan w:val="5"/>
            <w:tcBorders>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Сохранение и развитие культурного наследия коренных малочисленных народов Севера, Сибири и Дальнего Востока Российской Федерации, проживающих в Камчатском крае (далее в настоящем разделе – коренные малочисленные народы)</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839"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4.1.</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Содействие сохранению и развитию традиционного декоративно-прикладного искусства коренных малочисленных народов</w:t>
            </w:r>
          </w:p>
          <w:p>
            <w:pPr>
              <w:pStyle w:val="Normal"/>
              <w:widowControl w:val="false"/>
              <w:suppressAutoHyphens w:val="true"/>
              <w:spacing w:lineRule="auto" w:line="240" w:before="0" w:after="0"/>
              <w:ind w:hanging="0" w:left="0" w:right="0"/>
              <w:jc w:val="both"/>
              <w:rPr>
                <w:rFonts w:ascii="Times New Roman" w:hAnsi="Times New Roman"/>
                <w:color w:val="000000"/>
                <w:spacing w:val="-1"/>
                <w:sz w:val="24"/>
              </w:rPr>
            </w:pPr>
            <w:r>
              <w:rPr>
                <w:rFonts w:ascii="Times New Roman" w:hAnsi="Times New Roman"/>
                <w:color w:val="000000"/>
                <w:spacing w:val="-1"/>
                <w:sz w:val="24"/>
              </w:rPr>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p>
            <w:pPr>
              <w:pStyle w:val="Normal"/>
              <w:widowControl w:val="false"/>
              <w:suppressAutoHyphens w:val="true"/>
              <w:spacing w:lineRule="auto" w:line="240" w:before="0" w:after="0"/>
              <w:ind w:hanging="0" w:left="0" w:right="0"/>
              <w:jc w:val="center"/>
              <w:rPr>
                <w:rFonts w:ascii="Times New Roman" w:hAnsi="Times New Roman"/>
                <w:color w:val="000000"/>
                <w:sz w:val="24"/>
              </w:rPr>
            </w:pPr>
            <w:r>
              <w:rPr>
                <w:rFonts w:ascii="Times New Roman" w:hAnsi="Times New Roman"/>
                <w:color w:val="000000"/>
                <w:sz w:val="24"/>
              </w:rPr>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Министерство культуры Камчатского края:</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1. Оказана поддержка 10 мастерам народных художественных промыслов и ремесел: Петропавловска-Камчатского городского округа, Быстринского муниципального района, Олюторского муниципального района, Тигильского муниципального района в обеспечении участия в межрегиональных, международных выставках, фестивалях, конкурсах (число посетителей выставок 1 100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Получено 68 дипломов, 1 диплом 1-й степени, 5 благодарственных писем: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с 22 по 24 июня 2023года прошел VI Всероссийский конкурс народных мастеров «Дальний Восток мастеровой» в г. Благовещенске в рамках XIII Международного фестиваля «Российско-китайская ярмарка культуры и искусства». В конкурсе участвовали 2 мастера из с. Анавгай Быстринского района мастерской «Очидяк» МБУК ЭКЦ «Мэнэдек» Уварова Т.В., Коерков В.Г. Награды: 2 диплома участника, 1 диплом Победителя в номинации «Резьба по дереву» (в конкурсе участвовало 200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с 27 июня по 11 июля 2023 года в Иркутской области и республике Бурятия, в рамках ХIХ кочующий фестиваль «Манящие миры. Этническая Россия» прошли выставки, мастер-классы в которых приняли участие 5 мастеров из с. Ковран Тигильского муниципального района, мастерская «Уйирит». Награды: дипломы участников, благодарственное письмо. (выставки посетили 200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с 29 июня по 2 июля 2023 года в Калининградской области г. Светлогорске прошел Ежегодный форум национальных культур народов России, в рамках форума прошла выставка, научно-практическая конференция и мастер-классы по ДПИ. В мероприятии участвовала Аслапова (Аймык) Л.А. из г. Петропавловска -Камчатского Награды: диплом участника, сертификат, благодарственное письмо. (форум посетили 200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- 17–20 августа 2023 года, в Республике Чувашия г. Чебоксары, прошел Всероссийский фестиваль «Вышитая Россия», в котором приняли участие 2 мастера: из с.Анавгай Быстринского района и из с. Ачайваям Олюторского района. По итогам мастера вручены дипломы 60 мастерам, 3 благодарственных письма. ( фестиваль посетили 500 чел.)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980"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4.2.</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Содействие в изучении родного языка, национальной культуры и основ ведения традиционного хозяйства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образования Камчатского края: </w:t>
            </w:r>
          </w:p>
          <w:p>
            <w:pPr>
              <w:pStyle w:val="Normal"/>
              <w:widowControl w:val="false"/>
              <w:suppressAutoHyphens w:val="true"/>
              <w:spacing w:lineRule="auto" w:line="240" w:before="0" w:after="0"/>
              <w:ind w:hanging="0" w:left="0" w:right="132"/>
              <w:jc w:val="both"/>
              <w:rPr>
                <w:sz w:val="22"/>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В 2023 году приказом Министерства просвещения Российской Федерации от 18.05.2023 № 372 утверждена «Федеральная образовательная программа начального общего образования», в состав которой включена Федеральная рабочая программа по учебному предмету «Родной (корякский) язык» (пункт 48, страницы 801-816 ФОП НОО), автором которой является доцент кафедры родных языков, культуры и быта КМНС КГАУ ДПО «Камчатский ИРО», кандидат филологических наук В.Р. Дедык.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Это очень важное достижение в истории сохранения и развития корякского языка.</w:t>
            </w:r>
          </w:p>
          <w:p>
            <w:pPr>
              <w:pStyle w:val="Normal"/>
              <w:widowControl w:val="false"/>
              <w:suppressAutoHyphens w:val="true"/>
              <w:spacing w:lineRule="auto" w:line="240" w:before="0" w:after="0"/>
              <w:ind w:hanging="0" w:left="0" w:right="57"/>
              <w:jc w:val="both"/>
              <w:rPr>
                <w:sz w:val="22"/>
              </w:rPr>
            </w:pPr>
            <w:r>
              <w:rPr>
                <w:rFonts w:ascii="Times New Roman" w:hAnsi="Times New Roman"/>
                <w:color w:val="000000"/>
                <w:spacing w:val="0"/>
                <w:kern w:val="0"/>
                <w:sz w:val="24"/>
                <w:szCs w:val="20"/>
              </w:rPr>
              <w:t xml:space="preserve">В 2023 году проведено 3 курсов повышения квалификации по программам дополнительного профессионального образования «Теоретические и методологические особенности преподавания родного (корякского) языка в условиях реализации обновленных ФГОС», «Родной язык и традиции народов Крайнего Севера в полиэтническом пространстве», «Формирование этнокультурной компетентности обучающихся начального и основного общего образования». Обучен 21 слушатель, в том числе: 19 педагогов Камчатского края и  2 научных сотрудника: один из Института филологии СО РАН (г. Новосибирск) и один из ФГБОУ ВО «КамГУ им. Витуса Беринга» (г. Петропавловск-Камчатский). Проведено два методических мероприятия: круглый стол и вебинар, в которых приняло участие 39 человек. Круглый стол прошел по теме «Традиционное воспитание на уроках, занятиях родного (корякского, эвенского, ительменского) языка», в нем приняли участие учителя родного языка, воспитатели, преподаватели, студенты, работники культуры. Для руководителей и учителей родных языков КМНС общеобразовательных организаций Корякского округа проведен вебинар на тему «Об изучении родных языков КМНС в рамках ФОП НОО и ФОП ООО в образовательной организации». </w:t>
            </w:r>
          </w:p>
          <w:p>
            <w:pPr>
              <w:pStyle w:val="Normal"/>
              <w:widowControl w:val="false"/>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На вебинаре были рассмотрены два вопроса:</w:t>
            </w:r>
          </w:p>
          <w:p>
            <w:pPr>
              <w:pStyle w:val="Normal"/>
              <w:widowControl w:val="false"/>
              <w:numPr>
                <w:ilvl w:val="0"/>
                <w:numId w:val="0"/>
              </w:numPr>
              <w:suppressAutoHyphens w:val="true"/>
              <w:spacing w:lineRule="auto" w:line="240" w:before="0" w:after="0"/>
              <w:ind w:hanging="0" w:left="0" w:right="0"/>
              <w:contextualSpacing/>
              <w:jc w:val="left"/>
              <w:rPr>
                <w:sz w:val="22"/>
              </w:rPr>
            </w:pPr>
            <w:r>
              <w:rPr>
                <w:rFonts w:ascii="Times New Roman" w:hAnsi="Times New Roman"/>
                <w:color w:val="000000"/>
                <w:spacing w:val="0"/>
                <w:kern w:val="0"/>
                <w:sz w:val="24"/>
                <w:szCs w:val="20"/>
              </w:rPr>
              <w:t>1. Об изучении родных языков коренных народов Севера в рамках ФООП. Основное внимание обращено на варианты учебного плана ФООП, которыми предусмотрено изучение родных языков. А так же о возможностях образовательной организации формирования учебного плана на основе учета нормативных документов, в том числе изменений, внесенных в Федеральный закон «Об образовании в Российской Федерации», ФООП и обновленных ФГОС.</w:t>
            </w:r>
          </w:p>
          <w:p>
            <w:pPr>
              <w:pStyle w:val="Normal"/>
              <w:widowControl w:val="false"/>
              <w:numPr>
                <w:ilvl w:val="0"/>
                <w:numId w:val="0"/>
              </w:numPr>
              <w:suppressAutoHyphens w:val="true"/>
              <w:spacing w:lineRule="auto" w:line="240" w:before="0" w:after="0"/>
              <w:ind w:hanging="0" w:left="0" w:right="0"/>
              <w:jc w:val="left"/>
              <w:rPr>
                <w:sz w:val="22"/>
              </w:rPr>
            </w:pPr>
            <w:r>
              <w:rPr>
                <w:rFonts w:ascii="Times New Roman" w:hAnsi="Times New Roman"/>
                <w:color w:val="000000"/>
                <w:spacing w:val="0"/>
                <w:kern w:val="0"/>
                <w:sz w:val="24"/>
                <w:szCs w:val="20"/>
              </w:rPr>
              <w:t>2. Об использовании электронных форм учебников (ЭФУ) по корякскому языку в образовательной деятельности. Автором ЭФУ является Дедык В.Р.  ЭФУ по корякскому языку для 1-4 классов были созданы в 2022 году совместно со специалистами Санкт-Петербургского филиала издательства «Просвещение» и направлены в образовательные организации Камчатского края, в которых изучается корякский язык.</w:t>
            </w:r>
          </w:p>
          <w:p>
            <w:pPr>
              <w:pStyle w:val="Normal"/>
              <w:widowControl w:val="false"/>
              <w:suppressAutoHyphens w:val="true"/>
              <w:spacing w:lineRule="auto" w:line="240" w:before="0" w:after="0"/>
              <w:ind w:hanging="0" w:left="0" w:right="57"/>
              <w:jc w:val="both"/>
              <w:rPr>
                <w:sz w:val="22"/>
              </w:rPr>
            </w:pPr>
            <w:r>
              <w:rPr>
                <w:rFonts w:ascii="Times New Roman" w:hAnsi="Times New Roman"/>
                <w:color w:val="000000"/>
                <w:spacing w:val="0"/>
                <w:kern w:val="0"/>
                <w:sz w:val="24"/>
                <w:szCs w:val="20"/>
              </w:rPr>
              <w:t>Проведение олимпиад по родным языкам коренных малочисленных народов Севера, Сибири и Дальнего Востока, проживающих в Камчатском крае, является одним из направлений их сохранения и популяризации. Давней традицией  сотрудников кафедры родных языков, культуры и быта КМНС Камчатского института развития образования является организация олимпиад по родным языкам. В 2023 году олимпиада проводилась среди обучающихся, изучающих корякский язык.В олимпиаде в 2023 году приняли участие 87 обучающихся из шести образовательных организаций: МКОУ «Ачайваямская средняя  школа (13 обучающихся 2-11 классов), МКОУ «Каменская средняя школа» (7 обучающихся 2-4 классов),  МБОУ «Лесновская основная общеобразовательная школа» (19 обучающихся 2-9 классов), МКОУ «Манильская средняя школа» (10 обучающихся 3-7 классов), МКОУ «Слаутнинская средняя школа» (25 обучающихся, 2-10 классов), МКОУ «Хаилинская средняя школа» (13 обучающихся 8-11 классов).</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Победители и призеры олимпиады получили дипломы, остальные участники олимпиады получили сертификаты участника.</w:t>
            </w:r>
          </w:p>
          <w:p>
            <w:pPr>
              <w:pStyle w:val="Normal"/>
              <w:widowControl w:val="false"/>
              <w:suppressAutoHyphens w:val="true"/>
              <w:spacing w:lineRule="auto" w:line="240" w:before="0" w:after="0"/>
              <w:ind w:hanging="0" w:left="0" w:right="57"/>
              <w:jc w:val="both"/>
              <w:rPr>
                <w:sz w:val="22"/>
              </w:rPr>
            </w:pPr>
            <w:r>
              <w:rPr>
                <w:rFonts w:ascii="Times New Roman" w:hAnsi="Times New Roman"/>
                <w:color w:val="000000"/>
                <w:spacing w:val="0"/>
                <w:kern w:val="0"/>
                <w:sz w:val="24"/>
                <w:szCs w:val="20"/>
              </w:rPr>
              <w:t>В сентябре-октябре 2023 года проведена организационная работа собразовательными организациями края по участию учителей родного языка и обучающихся, изучающих родной язык, в ежегодном краевом конкурсе «Лучшая творческая работа на родном языке коренных малочисленных народов Севера, Сибири и Дальнего Востока, проживающих на территории Камчатского края». Сотрудники кафедры приняли участие в экспертизе представленных конкурсных работ.</w:t>
            </w:r>
          </w:p>
          <w:p>
            <w:pPr>
              <w:pStyle w:val="Normal"/>
              <w:widowControl w:val="false"/>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Обеспечено организационное сопровождение содействия в организации с 06 июля по 06 августа 2023 г. лингвистической экспедиции в Тигильский муниципальный район и ГО «поселок Палана» Казакевич О.А., ведущего научного сотрудника, заведующего Лабораторией исследования и сохранения малых языков Института языкознания Российской академии наук.</w:t>
            </w:r>
          </w:p>
          <w:p>
            <w:pPr>
              <w:pStyle w:val="Normal"/>
              <w:widowControl w:val="false"/>
              <w:suppressAutoHyphens w:val="true"/>
              <w:spacing w:lineRule="auto" w:line="240" w:before="0" w:after="0"/>
              <w:ind w:hanging="0" w:left="0" w:right="57"/>
              <w:jc w:val="both"/>
              <w:rPr>
                <w:sz w:val="22"/>
              </w:rPr>
            </w:pPr>
            <w:r>
              <w:rPr>
                <w:rFonts w:ascii="Times New Roman" w:hAnsi="Times New Roman"/>
                <w:color w:val="000000"/>
                <w:spacing w:val="0"/>
                <w:kern w:val="0"/>
                <w:sz w:val="24"/>
                <w:szCs w:val="20"/>
              </w:rPr>
              <w:t xml:space="preserve">Осуществлено организационно-методическое сопровождение следующих Всероссийских конкурсных мероприятий: Всероссийский конкурс на лучшее сочинение о своей культуре на русском языке и лучшее описание русской культуры на родном языке (апрель-ноябрь 2023 г.). В региональном этапе конкурса приняли участие четыре школьника </w:t>
            </w:r>
          </w:p>
          <w:p>
            <w:pPr>
              <w:pStyle w:val="Normal"/>
              <w:widowControl w:val="false"/>
              <w:suppressAutoHyphens w:val="true"/>
              <w:spacing w:lineRule="auto" w:line="240" w:before="0" w:after="0"/>
              <w:ind w:hanging="0" w:left="0" w:right="60"/>
              <w:jc w:val="both"/>
              <w:rPr>
                <w:sz w:val="22"/>
              </w:rPr>
            </w:pPr>
            <w:r>
              <w:rPr>
                <w:rFonts w:ascii="Times New Roman" w:hAnsi="Times New Roman"/>
                <w:color w:val="000000"/>
                <w:spacing w:val="0"/>
                <w:kern w:val="0"/>
                <w:sz w:val="24"/>
                <w:szCs w:val="20"/>
              </w:rPr>
              <w:t>Камчатского края из сел Лесная, Усть-Хайрюзово и города Петропавловска-Камчатского. На федеральный этап было направлено три сочинения. В номинации «Описание русской культуры на родном языке» (среди обучающихся 8-9 классов) за сочинение на корякском языке в жанре очерк на тему «Масленица – Масленицан» третье место присуждено ученице 9 класса муниципального бюджетного общеобразовательного учреждения «Лесновская основная общеобразовательная школа» (Тигильский район) Ягановой Марии. Учитель, подготовивший Марию к участию в конкурсе, Яганова Владислава Константиновна;</w:t>
            </w:r>
          </w:p>
          <w:p>
            <w:pPr>
              <w:pStyle w:val="Normal"/>
              <w:widowControl w:val="false"/>
              <w:suppressAutoHyphens w:val="true"/>
              <w:spacing w:lineRule="auto" w:line="240" w:before="0" w:after="0"/>
              <w:ind w:hanging="0" w:left="0" w:right="132"/>
              <w:jc w:val="both"/>
              <w:rPr>
                <w:sz w:val="22"/>
              </w:rPr>
            </w:pPr>
            <w:r>
              <w:rPr>
                <w:rFonts w:ascii="Times New Roman" w:hAnsi="Times New Roman"/>
                <w:color w:val="000000"/>
                <w:spacing w:val="0"/>
                <w:kern w:val="0"/>
                <w:sz w:val="24"/>
                <w:szCs w:val="20"/>
              </w:rPr>
              <w:t>Всероссийский профессиональный конкурс «Лучший учитель родного языка и родной литературы» (18-23 сентября 2023 г., г. Черкесск). В заключительном этапе конкурса участие приняла учитель родного (корякского) языка МКОУ «Ачайваямская средняя школа» Сафонова Л.М. Сотрудники кафедры родных языков, культуры и быта КМНС совместно с сотрудниками кафедры дошкольного и начального образования и отдела профессионального развития Камчатского ИРО обеспечили организационно-методическое и организационно-технологическое сопровождение подготовки участника к конкурсу.</w:t>
            </w:r>
          </w:p>
          <w:p>
            <w:pPr>
              <w:pStyle w:val="Normal"/>
              <w:widowControl w:val="false"/>
              <w:suppressAutoHyphens w:val="true"/>
              <w:spacing w:lineRule="auto" w:line="240" w:before="0" w:after="0"/>
              <w:ind w:hanging="0" w:left="0" w:right="132"/>
              <w:jc w:val="both"/>
              <w:rPr>
                <w:sz w:val="22"/>
              </w:rPr>
            </w:pPr>
            <w:r>
              <w:rPr>
                <w:rFonts w:ascii="Times New Roman" w:hAnsi="Times New Roman"/>
                <w:color w:val="000000"/>
                <w:spacing w:val="0"/>
                <w:kern w:val="0"/>
                <w:sz w:val="24"/>
                <w:szCs w:val="20"/>
              </w:rPr>
              <w:t>Международный день родного языка «Язык моих предков жив». Проведено 9 мероприятий в которых приняли участие 2402 чел., из них онлайн 2 мероприятия  2013 чел.</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В преддверии дня родного языка проведены:</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с 6 февраля по 28 февраля 2023 года, Акция-ОНЛАЙН «Молодежь и традиционная культура: говорим на родном языке» (1983 просмотров)</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- 13 февраля 2023, КамГУ им. Витуса Беринга прошел урок родного языка в рамках акции «Молодежь»  -21 февраля 2023года в «Международный день родного языка» организован и проведён этнодиктант на родных языках, в рамках акции «Молодежь и традиционная культура: говорим на родном языке»  в КамГУ им.Витуса Беринга (16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- 19 декабря 2023 года, в г. Москва в Институте языкознания РАН прошло ОНЛАЙН-заседание дискуссионно-аналитического клуба по языковой политике (30 чел). </w:t>
            </w:r>
          </w:p>
          <w:p>
            <w:pPr>
              <w:pStyle w:val="Normal"/>
              <w:widowControl w:val="false"/>
              <w:suppressAutoHyphens w:val="true"/>
              <w:spacing w:lineRule="auto" w:line="240" w:before="0" w:after="0"/>
              <w:ind w:hanging="0" w:left="0" w:right="132"/>
              <w:jc w:val="both"/>
              <w:rPr>
                <w:sz w:val="22"/>
              </w:rPr>
            </w:pPr>
            <w:r>
              <w:rPr>
                <w:rFonts w:ascii="Times New Roman" w:hAnsi="Times New Roman"/>
                <w:color w:val="000000"/>
                <w:spacing w:val="0"/>
                <w:kern w:val="0"/>
                <w:sz w:val="24"/>
                <w:szCs w:val="20"/>
              </w:rPr>
              <w:t xml:space="preserve">- в рамках национальных праздников проведены 5 мастер-классов по родным языкам, в которых участвовало 356 чел.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rHeight w:val="292" w:hRule="atLeast"/>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4.3.</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издания произведений устного народного творчества, художественной и иной литературы, в том числе на национальных языках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40" w:right="132"/>
              <w:jc w:val="both"/>
              <w:rPr>
                <w:sz w:val="22"/>
              </w:rPr>
            </w:pPr>
            <w:r>
              <w:rPr>
                <w:rFonts w:ascii="Times New Roman" w:hAnsi="Times New Roman"/>
                <w:color w:val="000000"/>
                <w:spacing w:val="0"/>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kern w:val="0"/>
                <w:sz w:val="24"/>
                <w:szCs w:val="20"/>
              </w:rPr>
              <w:t>Заключено Соглашение с КГБУ «Камчатский центр народного творчества» № 22-2/8 от 02.02.2023. Издан Сборник: «Нематериальное культурное наследие народов Камчатки. «Наставники и последователи» (200шт.). Издательство ООО «Камчатпресс», договор № 70 от 19.04.23</w:t>
            </w:r>
          </w:p>
          <w:p>
            <w:pPr>
              <w:pStyle w:val="Normal"/>
              <w:widowControl w:val="false"/>
              <w:suppressAutoHyphens w:val="true"/>
              <w:spacing w:lineRule="auto" w:line="240" w:before="0" w:after="0"/>
              <w:jc w:val="both"/>
              <w:rPr>
                <w:sz w:val="22"/>
              </w:rPr>
            </w:pPr>
            <w:r>
              <w:rPr>
                <w:rFonts w:ascii="Times New Roman" w:hAnsi="Times New Roman"/>
                <w:color w:val="000000"/>
                <w:kern w:val="0"/>
                <w:sz w:val="24"/>
                <w:szCs w:val="20"/>
              </w:rPr>
              <w:t>Соглашение с КГБУ «Корякский центр народного творчества» № 22-2/17 от 03.02.2023.</w:t>
            </w:r>
          </w:p>
          <w:p>
            <w:pPr>
              <w:pStyle w:val="Normal"/>
              <w:widowControl w:val="false"/>
              <w:suppressAutoHyphens w:val="true"/>
              <w:spacing w:lineRule="auto" w:line="240" w:before="0" w:after="0"/>
              <w:jc w:val="both"/>
              <w:rPr>
                <w:sz w:val="22"/>
              </w:rPr>
            </w:pPr>
            <w:r>
              <w:rPr>
                <w:rFonts w:ascii="Times New Roman" w:hAnsi="Times New Roman"/>
                <w:color w:val="000000"/>
                <w:kern w:val="0"/>
                <w:sz w:val="24"/>
                <w:szCs w:val="20"/>
              </w:rPr>
              <w:t>Соглашение с КГБУ «Корякский центр народного творчества»  № 22-2/20 от 09.02.2023.</w:t>
            </w:r>
          </w:p>
          <w:p>
            <w:pPr>
              <w:pStyle w:val="Normal"/>
              <w:widowControl w:val="false"/>
              <w:tabs>
                <w:tab w:val="clear" w:pos="708"/>
                <w:tab w:val="left" w:pos="0" w:leader="none"/>
              </w:tabs>
              <w:suppressAutoHyphens w:val="true"/>
              <w:spacing w:lineRule="auto" w:line="240" w:before="0" w:after="0"/>
              <w:jc w:val="both"/>
              <w:rPr>
                <w:sz w:val="22"/>
              </w:rPr>
            </w:pPr>
            <w:r>
              <w:rPr>
                <w:rFonts w:ascii="Times New Roman" w:hAnsi="Times New Roman"/>
                <w:color w:val="000000"/>
                <w:kern w:val="0"/>
                <w:sz w:val="24"/>
                <w:szCs w:val="20"/>
              </w:rPr>
              <w:t xml:space="preserve">Издание сборника фольклорных материалов «Эчган». Заключен договор №173 от 27.04.2023 с типографией ООО Обломскиздат. </w:t>
            </w:r>
          </w:p>
          <w:p>
            <w:pPr>
              <w:pStyle w:val="Normal"/>
              <w:widowControl w:val="false"/>
              <w:suppressAutoHyphens w:val="true"/>
              <w:spacing w:lineRule="auto" w:line="240" w:before="0" w:after="0"/>
              <w:jc w:val="both"/>
              <w:rPr>
                <w:sz w:val="22"/>
              </w:rPr>
            </w:pPr>
            <w:r>
              <w:rPr>
                <w:rFonts w:ascii="Times New Roman" w:hAnsi="Times New Roman"/>
                <w:color w:val="000000"/>
                <w:kern w:val="0"/>
                <w:sz w:val="24"/>
                <w:szCs w:val="20"/>
              </w:rPr>
              <w:t>Согласно предложений избирателей, поступивших в адрес депутатов Законодательного Собрания Камчатского края» проведена работа по изданию детской настольной игры на русском и корякском языках «Путешествие по Камчатке». Договор №174 от 27. 04.2023г.  с  типографией Обломскиздат.</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4.4.</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издания полиграфической продукции, освещающей культурную деятельность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jc w:val="both"/>
              <w:rPr>
                <w:sz w:val="22"/>
              </w:rPr>
            </w:pPr>
            <w:r>
              <w:rPr>
                <w:rFonts w:ascii="Times New Roman" w:hAnsi="Times New Roman"/>
                <w:color w:val="000000"/>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kern w:val="0"/>
                <w:sz w:val="24"/>
                <w:szCs w:val="20"/>
              </w:rPr>
              <w:t xml:space="preserve">Заключено соглашение с КГБУ «Корякский центр народного творчества» </w:t>
              <w:br/>
              <w:t>№ 22-2/18 от 03.02.2023. Издание сборника фольклорных материалов «Эчган». Заключен договор  № 173 от 27.04.2023 г. с ООО Обломскиздат. Оплата произведена.   Выпуск детской книги «Мой каюю». Количество экземпляров: 500 шт. Проведена работа по сбору материалов. Создан оригинал макета сборника.  Заключен договор с ООО Омскбланкиздат №175 от 19 мая 2023 г. Оплата произведена. Выпуск настольной игры на алюторском диалекте корякского языка «Земля моих предков». Количество экземпляров: 300 шт. Заключен договор с ООО Омскбланкиздат № 176 от 19 мая 2023.</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4.5.</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издания этнографических материалов и литературы, отражающей самобытную культуру коренных малочисленных народов</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132"/>
              <w:jc w:val="both"/>
              <w:rPr>
                <w:sz w:val="22"/>
              </w:rPr>
            </w:pPr>
            <w:r>
              <w:rPr>
                <w:rFonts w:ascii="Times New Roman" w:hAnsi="Times New Roman"/>
                <w:color w:val="000000"/>
                <w:spacing w:val="0"/>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Выпущены 2 этнографических сборника из Серии «Нематериальное культурное наследие»: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1. Наставники и последователи/ М.Е. Беляева, сост.: Воробьева Н.А. – Петропавловск-Камчатский : Камчатпресс, 2023. – 56с.: ил. (200 экз.)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2. Традиционная кукла Камчатки: история и современность: сост: М.Е. Беляева, Воробьева Н.А. – Петропавловск-Камчатский: Камчатпресс, 2023. – 36 с. : ил. (200 экз.)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4.6.</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и содействие в проведении традиционных национальных праздников коренных малочисленных народов, фестивалей, выставок, значимых традиционных краевых мероприятий</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В 2023 году проведено 6 национальных праздников, которые посетили 7 000 чел (в режиме онлайн посмотрели 17 535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- 13 мая 2023 года, Корякский обрядовый праздник «Аюангыт», г. П/К, этнодеревня «У Кутха» посетили 900 чел. (3 500 просмотров в режиме онлайн)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- 12 июня 2023, Обрядовый праздник «День первой рыбы»,  на территории этнодеревня «У Кутха» . Мероприятие посетили 2 000 чел. (2 500 чел просмотров в режиме онлайн).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- 6 августа 2023 года, День аборигена,  на территории этнодеревня «У Кутха» мероприятие посетили 1000 чел. (2145 просмотров в режиме онлайн)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c 9 по 10 сентября 2023 года на этноплощадке «Тылвачх» в с. Козыревск Усть-Камчатского муниципального района прошел ительменский обрядовый праздник «Алхалалалай» участие приняли 800 чел., (5 055 просмотров в режиме онлайн);</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- 4 ноября 2023 года, на берегу Озерновской косы,  прошел корякский обрядовый праздник «Хололо», приняли участие 1 700 чел. (2 069 просмотров в режиме онлайн);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- 24 декабря 2023 года, на берегу Озерновской косы,  прошел корякский обрядовый праздник «Встреча Нового солнца», приняли участие  600 чел. (2 266просмотров в режиме онлайн).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В том числе были проведены 99 разноплановых мероприятий по сохранению и развитию традиционной культуры, в которых приняли участие 13 820 человек:  проведено 60 просветительских встречи на тему культуры и традиций КМНС в г. Петропавловск-Камчатский, г. Елизово (для туристов, пенсионеров, детей, молодежи), участие приняли 3 463чел.;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-29 апреля проведен международный день танца, который посетили 135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-16 июля в рамках единого Дня фольклора проведен «Праздник бубна», который посетили 500 чел;</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-с 14–17 июня в г. Санкт-Петербурге на площадке киностудии «Ленфильм», в рамках Петербургского экономического форума, прошли мероприятия международного фестиваля народов Севера «Душа России»: Дискуссионная и культурная программы фестиваля. На фестивале проведено 17 мероприятий, которые посетили 1 507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-с 4 по 7 мая 2023года в г. Магадан, в рамках межрегионального фестиваля национальных традиций и народного творчества кмн Севера, Сибири и Дальнего Востока, проведено 10 мероприятий, которые посетили 1 184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-26 декабря 2023 года, во Дворце молодежи, прошел творческий вечер «Зажигая звезды», который посетили 348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-с 16 по 18 февраля 2023года прошла Межрегиональная выставка-ярмарка «Сказочная Камчатка» мероприятие посетило 5 400 чел  2 вечера памяти участие приняли 260 чел. (просмотров в режиме онлайн 1 700);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- 21 февраля, прошел вечер памяти, посвященная юбилею В. Косыгина (Коянто) в КГБУ «Камчатской краевой библиотеке им. Крашенинникова» офлайн/онлайн, мероприятие  посетило 50 (просмотров в режиме онлайн 700 );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- 17марта 2023 года, в КГБУ «Камчатской краевой библиотеке им. </w:t>
            </w:r>
            <w:bookmarkStart w:id="4" w:name="_GoBack"/>
            <w:bookmarkEnd w:id="4"/>
            <w:r>
              <w:rPr>
                <w:rFonts w:ascii="Times New Roman" w:hAnsi="Times New Roman"/>
                <w:color w:val="000000"/>
                <w:spacing w:val="0"/>
                <w:kern w:val="0"/>
                <w:sz w:val="24"/>
                <w:szCs w:val="20"/>
              </w:rPr>
              <w:t>Крашенинникова» прошел вечер памяти, посвященный юбилею А.Гиля, мероприятие посетило 210 чел (просмотров в режиме онлайн 1000);</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-16 мая 2023г, в рамках гастрономического фестиваля «ПапоротнИКраб» проведен мастер-класс по национальной кухне (20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в рамках проекта «Традиции живы» и «Перезапуск», совместно с ООМ КМНС «Дружба северян» проведены: лекции, мастер-классы, семинары и концерт в Пенжинском муниципальном районе, Олюторском муниципальном районе, Быстринском муниципальном районе. Всего проведено 32 мероприятия , количество участников 1003 чел.</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4.7.</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Поддержка деятельности национальных коллективов, самодеятельных и семейных ансамблей коренных малочисленных народов  </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p>
            <w:pPr>
              <w:pStyle w:val="Normal"/>
              <w:widowControl w:val="false"/>
              <w:suppressAutoHyphens w:val="true"/>
              <w:spacing w:lineRule="auto" w:line="240" w:before="0" w:after="0"/>
              <w:ind w:hanging="0" w:left="0" w:right="0"/>
              <w:jc w:val="center"/>
              <w:rPr>
                <w:rFonts w:ascii="Times New Roman" w:hAnsi="Times New Roman"/>
                <w:color w:val="000000"/>
                <w:sz w:val="24"/>
              </w:rPr>
            </w:pPr>
            <w:r>
              <w:rPr>
                <w:rFonts w:ascii="Times New Roman" w:hAnsi="Times New Roman"/>
                <w:color w:val="000000"/>
                <w:sz w:val="24"/>
              </w:rPr>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Оказана поддержка творческим коллективам из 4 муниципальных образований: Петропавловска-Камчатского городского округа, Быстринского муниципального района, Олюторского муниципального района, Тигильского муниципального района. Было осуществлено 5 поездок , участие приняли 4 300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По итогам: 1 – гран при, сертификат на 2 млн.руб, диплом победителя, 2 диплома участника, 2 благодарственных письма, диплом 3-й степени, диплом за лучший костюм, диплом за лучший актерский состав.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апрель, Республика Бурятия г.Улан-Удэ, Всероссийский фестиваль-конкурс любительских творческих коллективов, участвовал Народный молодежный национальный ансамбль «Коритэв». Получили диплом «Гран-при» и 2 млн. рублей гранта национального проекта «Культура». (приняли участие 1 000 чел.);</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с 4 по 7 мая 2023 гола, в Магаданской области г. Магадан,  прошел межрегиональный фестиваль национальных традиций и народного творчества КМН Севера, Сибири и Дальнего Востока «Холиа», научно-практическая конференция. Участие принял Народный молодежный национальный ансамбль «Коритэв». Вручен диплом, сертификат и благодарственное письмо. (приняли участие 1 000 чел).</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-с  27 июня по 11 июля 2023 года  в Иркутской область и республика Бурятия прошел ХIХ кочующий фестиваль «Манящие миры. Этническая Россия», участие принял МБУК «Ительменский фольклорный ансамбль «Эльвель». Вручен  диплом участника, благодарственное письмо. (приняли участие 1 200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с 21 по 24 сентября 2023года в  г. Ярославль прошел Всероссийский фестиваль фольклорных театров «Охочие комедианты», участие принял фольклорный театр «Укченэк» МБУК ЭКЦ «Мэнэдек». Вручены: диплом «Лауреат», диплом 3-й степени, диплом за лучший костюм, диплом за лучший актерский состав. (500 чел)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- 16 октября 2023года, в г. Москва, прошел заключительный гала-концерт Всероссийского фестиваля-конкурса любительских творческих коллективов. Участие принял Народный молодежный национальный ансамбль «Коритэв». Вручен  сертификат на  2 млн. руб. (участие приняли 600 чел.).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4.8.</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Организация сбора и обработки фольклорно-этнографических   материалов, составляющих культурное наследие коренных малочисленных народов </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p>
            <w:pPr>
              <w:pStyle w:val="Normal"/>
              <w:widowControl w:val="false"/>
              <w:suppressAutoHyphens w:val="true"/>
              <w:spacing w:lineRule="auto" w:line="240" w:before="0" w:after="0"/>
              <w:ind w:hanging="0" w:left="0" w:right="0"/>
              <w:jc w:val="center"/>
              <w:rPr>
                <w:rFonts w:ascii="Times New Roman" w:hAnsi="Times New Roman"/>
                <w:color w:val="000000"/>
                <w:sz w:val="24"/>
              </w:rPr>
            </w:pPr>
            <w:r>
              <w:rPr>
                <w:rFonts w:ascii="Times New Roman" w:hAnsi="Times New Roman"/>
                <w:color w:val="000000"/>
                <w:sz w:val="24"/>
              </w:rPr>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132"/>
              <w:jc w:val="both"/>
              <w:rPr>
                <w:sz w:val="22"/>
              </w:rPr>
            </w:pPr>
            <w:r>
              <w:rPr>
                <w:rFonts w:ascii="Times New Roman" w:hAnsi="Times New Roman"/>
                <w:color w:val="000000"/>
                <w:spacing w:val="0"/>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За отчетный период состоялось 3 фольклорно - этнографические экспедиции в Карагинском муниципальном районе, Усть-Камчатском муниципальном районе, Тигильском муниципальном районе:</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с 23 марта по 05 апреля 2023года. состоялась фольклорно - этнографическая экспедиция в Карагинский район сёла Тымлат, Карага, п. Оссора в Карагинском муниципальном районе.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с 6 по 10 сентября 2023года, фольклорно - этнографическая экспедиция  прошла в с. Козыревск Усть-Камчатском муниципальном районе;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 с 25 сентября по 09 октября 2023года,  прошла фольклорно - этнографическая экспедиция в с.Тигиль Тигильском  муниципальном районе. По итогам  записано – 25 информантов, проведено 19 мероприятий  в которых приняли 460 чел., проведено в том числе: 7 фольклорных посиделок (163 чел.), 6 мастер-классов по национальной хореографии (193 чел.), 6 мастер-классов по ДПИ (104 чел.). Оказана консультационная помощь 11 учреждениям, методическая помощь на эл. носителях 9 учреждениям.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4.9.</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участия представителей из числа коренных малочисленных народов в Международной выставке-ярмарке «Сокровища Севера» (г. Москва) </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один раз в 3 года</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5935" w:leader="none"/>
              </w:tabs>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Министерство культуры Камчатского края:</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Поездка осуществляется 1 раз в 3 года. В 2023 году самостоятельно на выставке побывали, за счет средств родовой общины Елтыгина Л.Е. из Елизовского муниципального района и Кручинина Л.К. мастерская «Уйирит» из с. Ковран из Тигильского муниципального района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4.10.</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Организация участия национальных коллективов в работе Всероссийского фестиваля «Манящие миры. Этническая Россия»</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Министерство культуры Камчатского края:</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с 27 июня по 11 июля 2023 года в  Иркутской области и республике Бурятия, прошел ХIХ кочующий фестиваль «Манящие миры. Этническая Россия», участие принял МБУК «Ительменский фольклорный ансамбль «Эльвель». Вручен диплом участника, благодарственное письмо. (2 500 чел)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4.14.</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1"/>
                <w:kern w:val="0"/>
                <w:sz w:val="24"/>
                <w:szCs w:val="20"/>
              </w:rPr>
              <w:t>Обеспечение деятельности информационного культурно-просветительского этноцентра «Камчатка разными народами обитаема»</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1"/>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132"/>
              <w:jc w:val="both"/>
              <w:rPr>
                <w:sz w:val="22"/>
              </w:rPr>
            </w:pPr>
            <w:r>
              <w:rPr>
                <w:rFonts w:ascii="Times New Roman" w:hAnsi="Times New Roman"/>
                <w:color w:val="000000"/>
                <w:spacing w:val="-1"/>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1"/>
                <w:kern w:val="0"/>
                <w:sz w:val="24"/>
                <w:szCs w:val="20"/>
              </w:rPr>
              <w:t>КГБУ «Камчатская краевая научная библиотека им. С.П. Крашенинникова»</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kern w:val="0"/>
                <w:sz w:val="24"/>
                <w:szCs w:val="20"/>
              </w:rPr>
              <w:t xml:space="preserve">В рамках мероприятия для обеспечения деятельности этноцентра  приобретены расходные материалы для издательской деятельности, расходные материалов для мастер-классов, призовой фонд, техническое оборудование, предметы промысла и быта для экспозиции «Алеуты» и «Эвены», также и оплачены услуги по изготовлению шкафов-витрин и  типографские услуги.В феврале приобретены расходные материалы для издательской деятельности (картриджи, бумага), расходные материалы для мастер-классов по декоративно-прикладному творчеству, ноутбук, а также оплачены типографские услуги (информационно-раздаточный материал, баннер).  В марте заключен  и оплачен договор на изготовление двух шкафов-витрин с ИП Шаклина Т.Н.. В апреле приобретены предметы быта и промысла для инсталляций «Алеуты» и «Эвены», а также призовой фонд для проведения краеведческих игр и викторин. </w:t>
            </w:r>
            <w:r>
              <w:rPr>
                <w:rFonts w:ascii="Times New Roman" w:hAnsi="Times New Roman"/>
                <w:color w:val="000000"/>
                <w:spacing w:val="-1"/>
                <w:kern w:val="0"/>
                <w:sz w:val="24"/>
                <w:szCs w:val="20"/>
              </w:rPr>
              <w:t>За отчетный период проведено более 100 экскурсий по этноплощадке с викторинами и  мастер-классами по декоративно-прикладному искусству коренных малочисленных народов Камчатки. Общее число посещений мероприятий этноплощадки – 4 423  чел.</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4.15.</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Проведение ежегодного краевого фестиваля – конкурса сказок коренных малочисленных народов Камчатского края «Мургин лымн,ыль» </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культуры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с 1 марта по 10 декабря 2023года. поэтапно прошел Краевой фестиваля - конкурс сказок коренных малочисленных народов Севера, Сибири и Дальнего Востока, проживающих на территории Камчатского края «Мургинлымныль» (341 чел). В конкурсе приняли  участие дистанционно: 5 коллективов, 5 солистов. Всего 44 человека. В фестивале участвовали Алеутский муниципальный  округ, Тигильский муниципальный район, Олюторский муниципальный район, Карагинский муниципальный район,  Петропавловск-Камчатский городской округ. В гала-концерте приняли участи 297 чел., из них 256 зрителей, 41 чел. участники коллективов, солисты – победители конкурса. </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r>
        <w:trPr/>
        <w:tc>
          <w:tcPr>
            <w:tcW w:w="100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4.16.</w:t>
            </w:r>
          </w:p>
        </w:tc>
        <w:tc>
          <w:tcPr>
            <w:tcW w:w="424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Проведение ежегодного краевого конкурса «Лучшая творческая работа на родном языке коренных малочисленных народов Севера, Сибири и Дальнего Востока, проживающих на территории Камчатского края», последующее издание лучших творческих работ</w:t>
            </w:r>
          </w:p>
        </w:tc>
        <w:tc>
          <w:tcPr>
            <w:tcW w:w="112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center"/>
              <w:rPr>
                <w:sz w:val="22"/>
              </w:rPr>
            </w:pPr>
            <w:r>
              <w:rPr>
                <w:rFonts w:ascii="Times New Roman" w:hAnsi="Times New Roman"/>
                <w:color w:val="000000"/>
                <w:spacing w:val="0"/>
                <w:kern w:val="0"/>
                <w:sz w:val="24"/>
                <w:szCs w:val="20"/>
              </w:rPr>
              <w:t>ежегодно</w:t>
            </w:r>
          </w:p>
        </w:tc>
        <w:tc>
          <w:tcPr>
            <w:tcW w:w="861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 xml:space="preserve">Министерство развития гражданского общества и молодежи Камчатского края: </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0"/>
                <w:kern w:val="0"/>
                <w:sz w:val="24"/>
                <w:szCs w:val="20"/>
              </w:rPr>
              <w:t>В 2023 году творческие работы на конкурс предоставили 31 представитель коренных малочисленных народов из сел Никольское Алеусткого округа, Ачайваям Олюторского района, Ковран  Тигильского района, Каменское и Слаутное Пенжинского района, Анавгай и Эссо Быстринского района, пгт. Палана, городов Елизово и Петропавловска-Камчатского. Впервые в этом году был учрежден Гран-При конкурса «За сохранение и развитие языков коренных малочисленных народов, проживающих в Камчатском крае», обладателями которого стали Татьяна Заева, Лидия Сафонова. Заседание конкурсной комиссии состоялось 27.11.2023. В соответствии с п. 6.5 Приказа Министерство развития гражданского общества и молодежи Камчатского края от 05.07.2022 №191-П «О ежегодном краевом конкурсе «Лучшая творческая работа на родном языке коренных малочисленных народов Севера, Сибири и Дальнего Востока Российской Федерации, проживающих в Камчатском крае» Конкурсной комиссией распределены призовые места и денежные премии. КГКУ «Центр финансового обеспечения» произвел денежную выплату с учетом НДФЛ победителям конкурса и их представителям (в отношении детей) до 20 декабря 2023 года.</w:t>
            </w:r>
          </w:p>
          <w:p>
            <w:pPr>
              <w:pStyle w:val="Normal"/>
              <w:widowControl w:val="false"/>
              <w:suppressAutoHyphens w:val="true"/>
              <w:spacing w:lineRule="auto" w:line="240" w:before="0" w:after="0"/>
              <w:ind w:hanging="0" w:left="0" w:right="0"/>
              <w:jc w:val="both"/>
              <w:rPr>
                <w:sz w:val="22"/>
              </w:rPr>
            </w:pPr>
            <w:r>
              <w:rPr>
                <w:rFonts w:ascii="Times New Roman" w:hAnsi="Times New Roman"/>
                <w:color w:val="000000"/>
                <w:spacing w:val="-1"/>
                <w:kern w:val="0"/>
                <w:sz w:val="24"/>
                <w:szCs w:val="20"/>
              </w:rPr>
              <w:t>Министерство образования Камчатского края:</w:t>
            </w:r>
            <w:r>
              <w:rPr>
                <w:rFonts w:ascii="Times New Roman" w:hAnsi="Times New Roman"/>
                <w:color w:val="000000"/>
                <w:spacing w:val="4"/>
                <w:kern w:val="0"/>
                <w:sz w:val="24"/>
                <w:szCs w:val="20"/>
              </w:rPr>
              <w:t xml:space="preserve"> </w:t>
            </w:r>
            <w:r>
              <w:rPr>
                <w:rFonts w:ascii="Times New Roman" w:hAnsi="Times New Roman"/>
                <w:color w:val="000000"/>
                <w:spacing w:val="0"/>
                <w:kern w:val="0"/>
                <w:sz w:val="24"/>
                <w:szCs w:val="20"/>
              </w:rPr>
              <w:t>Сотрудники кафедры родных языков, культуры и быта КМНС КГАУ ДПО «Камчатский ИРО» приняли участие в составе конкурсной комиссии конкурса «Лучшая творческая работа на родном языке коренных малочисленных народов Севера, Сибири и Дальнего Востока, проживающих на территории Камчатского края».</w:t>
            </w:r>
          </w:p>
        </w:tc>
        <w:tc>
          <w:tcPr>
            <w:tcW w:w="119" w:type="dxa"/>
            <w:tcBorders/>
          </w:tcPr>
          <w:p>
            <w:pPr>
              <w:pStyle w:val="Normal"/>
              <w:widowControl w:val="false"/>
              <w:suppressAutoHyphens w:val="true"/>
              <w:spacing w:lineRule="auto" w:line="240" w:before="0" w:after="0"/>
              <w:ind w:hanging="0" w:left="0" w:right="0"/>
              <w:jc w:val="left"/>
              <w:rPr>
                <w:rFonts w:ascii="Times New Roman" w:hAnsi="Times New Roman"/>
                <w:color w:val="000000"/>
                <w:sz w:val="24"/>
              </w:rPr>
            </w:pPr>
            <w:r>
              <w:rPr>
                <w:rFonts w:ascii="Times New Roman" w:hAnsi="Times New Roman"/>
                <w:color w:val="000000"/>
                <w:sz w:val="24"/>
              </w:rPr>
            </w:r>
          </w:p>
        </w:tc>
      </w:tr>
    </w:tbl>
    <w:p>
      <w:pPr>
        <w:pStyle w:val="Normal"/>
        <w:tabs>
          <w:tab w:val="clear" w:pos="708"/>
          <w:tab w:val="left" w:pos="3225" w:leader="none"/>
        </w:tabs>
        <w:spacing w:lineRule="auto" w:line="240" w:before="0" w:after="0"/>
        <w:rPr>
          <w:rFonts w:ascii="Times New Roman" w:hAnsi="Times New Roman"/>
          <w:color w:val="000000"/>
          <w:sz w:val="24"/>
        </w:rPr>
      </w:pPr>
      <w:r>
        <w:rPr>
          <w:rFonts w:ascii="Times New Roman" w:hAnsi="Times New Roman"/>
          <w:color w:val="000000"/>
          <w:sz w:val="24"/>
        </w:rPr>
      </w:r>
    </w:p>
    <w:sectPr>
      <w:headerReference w:type="even" r:id="rId14"/>
      <w:headerReference w:type="default" r:id="rId15"/>
      <w:headerReference w:type="first" r:id="rId16"/>
      <w:type w:val="nextPage"/>
      <w:pgSz w:orient="landscape" w:w="16838" w:h="11906"/>
      <w:pgMar w:left="1134" w:right="567" w:gutter="0" w:header="512" w:top="1309"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Liberation Sans">
    <w:altName w:val="Arial"/>
    <w:charset w:val="cc"/>
    <w:family w:val="roman"/>
    <w:pitch w:val="variable"/>
  </w:font>
  <w:font w:name="Segoe UI">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sz w:val="28"/>
      </w:rPr>
    </w:pPr>
    <w:r>
      <w:rPr/>
      <w:tab/>
    </w: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2</w:t>
    </w:r>
    <w:r>
      <w:rPr>
        <w:sz w:val="28"/>
        <w:rFonts w:ascii="Times New Roman" w:hAnsi="Times New Roman"/>
      </w:rPr>
      <w:fldChar w:fldCharType="end"/>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0" w:hanging="0"/>
      </w:pPr>
      <w:rPr>
        <w:rFonts w:ascii="Times New Roman" w:hAnsi="Times New Roman" w:cs="Times New Roman" w:hint="default"/>
        <w:dstrike w:val="false"/>
        <w:strike w:val="false"/>
        <w:sz w:val="24"/>
        <w:i w:val="false"/>
        <w:u w:val="none" w:color="000000"/>
        <w:b w:val="false"/>
        <w:color w:val="000000"/>
      </w:rPr>
    </w:lvl>
    <w:lvl w:ilvl="1">
      <w:start w:val="1"/>
      <w:numFmt w:val="bullet"/>
      <w:lvlText w:val="o"/>
      <w:lvlJc w:val="left"/>
      <w:pPr>
        <w:tabs>
          <w:tab w:val="num" w:pos="0"/>
        </w:tabs>
        <w:ind w:left="1188" w:hanging="0"/>
      </w:pPr>
      <w:rPr>
        <w:rFonts w:ascii="Times New Roman" w:hAnsi="Times New Roman" w:cs="Times New Roman" w:hint="default"/>
        <w:dstrike w:val="false"/>
        <w:strike w:val="false"/>
        <w:sz w:val="24"/>
        <w:i w:val="false"/>
        <w:u w:val="none" w:color="000000"/>
        <w:b w:val="false"/>
        <w:color w:val="000000"/>
      </w:rPr>
    </w:lvl>
    <w:lvl w:ilvl="2">
      <w:start w:val="1"/>
      <w:numFmt w:val="bullet"/>
      <w:lvlText w:val="▪"/>
      <w:lvlJc w:val="left"/>
      <w:pPr>
        <w:tabs>
          <w:tab w:val="num" w:pos="0"/>
        </w:tabs>
        <w:ind w:left="1908" w:hanging="0"/>
      </w:pPr>
      <w:rPr>
        <w:rFonts w:ascii="Times New Roman" w:hAnsi="Times New Roman" w:cs="Times New Roman" w:hint="default"/>
        <w:dstrike w:val="false"/>
        <w:strike w:val="false"/>
        <w:sz w:val="24"/>
        <w:i w:val="false"/>
        <w:u w:val="none" w:color="000000"/>
        <w:b w:val="false"/>
        <w:color w:val="000000"/>
      </w:rPr>
    </w:lvl>
    <w:lvl w:ilvl="3">
      <w:start w:val="1"/>
      <w:numFmt w:val="bullet"/>
      <w:lvlText w:val="•"/>
      <w:lvlJc w:val="left"/>
      <w:pPr>
        <w:tabs>
          <w:tab w:val="num" w:pos="0"/>
        </w:tabs>
        <w:ind w:left="2628" w:hanging="0"/>
      </w:pPr>
      <w:rPr>
        <w:rFonts w:ascii="Times New Roman" w:hAnsi="Times New Roman" w:cs="Times New Roman" w:hint="default"/>
        <w:dstrike w:val="false"/>
        <w:strike w:val="false"/>
        <w:sz w:val="24"/>
        <w:i w:val="false"/>
        <w:u w:val="none" w:color="000000"/>
        <w:b w:val="false"/>
        <w:color w:val="000000"/>
      </w:rPr>
    </w:lvl>
    <w:lvl w:ilvl="4">
      <w:start w:val="1"/>
      <w:numFmt w:val="bullet"/>
      <w:lvlText w:val="o"/>
      <w:lvlJc w:val="left"/>
      <w:pPr>
        <w:tabs>
          <w:tab w:val="num" w:pos="0"/>
        </w:tabs>
        <w:ind w:left="3348" w:hanging="0"/>
      </w:pPr>
      <w:rPr>
        <w:rFonts w:ascii="Times New Roman" w:hAnsi="Times New Roman" w:cs="Times New Roman" w:hint="default"/>
        <w:dstrike w:val="false"/>
        <w:strike w:val="false"/>
        <w:sz w:val="24"/>
        <w:i w:val="false"/>
        <w:u w:val="none" w:color="000000"/>
        <w:b w:val="false"/>
        <w:color w:val="000000"/>
      </w:rPr>
    </w:lvl>
    <w:lvl w:ilvl="5">
      <w:start w:val="1"/>
      <w:numFmt w:val="bullet"/>
      <w:lvlText w:val="▪"/>
      <w:lvlJc w:val="left"/>
      <w:pPr>
        <w:tabs>
          <w:tab w:val="num" w:pos="0"/>
        </w:tabs>
        <w:ind w:left="4068" w:hanging="0"/>
      </w:pPr>
      <w:rPr>
        <w:rFonts w:ascii="Times New Roman" w:hAnsi="Times New Roman" w:cs="Times New Roman" w:hint="default"/>
        <w:dstrike w:val="false"/>
        <w:strike w:val="false"/>
        <w:sz w:val="24"/>
        <w:i w:val="false"/>
        <w:u w:val="none" w:color="000000"/>
        <w:b w:val="false"/>
        <w:color w:val="000000"/>
      </w:rPr>
    </w:lvl>
    <w:lvl w:ilvl="6">
      <w:start w:val="1"/>
      <w:numFmt w:val="bullet"/>
      <w:lvlText w:val="•"/>
      <w:lvlJc w:val="left"/>
      <w:pPr>
        <w:tabs>
          <w:tab w:val="num" w:pos="0"/>
        </w:tabs>
        <w:ind w:left="4788" w:hanging="0"/>
      </w:pPr>
      <w:rPr>
        <w:rFonts w:ascii="Times New Roman" w:hAnsi="Times New Roman" w:cs="Times New Roman" w:hint="default"/>
        <w:dstrike w:val="false"/>
        <w:strike w:val="false"/>
        <w:sz w:val="24"/>
        <w:i w:val="false"/>
        <w:u w:val="none" w:color="000000"/>
        <w:b w:val="false"/>
        <w:color w:val="000000"/>
      </w:rPr>
    </w:lvl>
    <w:lvl w:ilvl="7">
      <w:start w:val="1"/>
      <w:numFmt w:val="bullet"/>
      <w:lvlText w:val="o"/>
      <w:lvlJc w:val="left"/>
      <w:pPr>
        <w:tabs>
          <w:tab w:val="num" w:pos="0"/>
        </w:tabs>
        <w:ind w:left="5508" w:hanging="0"/>
      </w:pPr>
      <w:rPr>
        <w:rFonts w:ascii="Times New Roman" w:hAnsi="Times New Roman" w:cs="Times New Roman" w:hint="default"/>
        <w:dstrike w:val="false"/>
        <w:strike w:val="false"/>
        <w:sz w:val="24"/>
        <w:i w:val="false"/>
        <w:u w:val="none" w:color="000000"/>
        <w:b w:val="false"/>
        <w:color w:val="000000"/>
      </w:rPr>
    </w:lvl>
    <w:lvl w:ilvl="8">
      <w:start w:val="1"/>
      <w:numFmt w:val="bullet"/>
      <w:lvlText w:val="▪"/>
      <w:lvlJc w:val="left"/>
      <w:pPr>
        <w:tabs>
          <w:tab w:val="num" w:pos="0"/>
        </w:tabs>
        <w:ind w:left="6228" w:hanging="0"/>
      </w:pPr>
      <w:rPr>
        <w:rFonts w:ascii="Times New Roman" w:hAnsi="Times New Roman" w:cs="Times New Roman" w:hint="default"/>
        <w:dstrike w:val="false"/>
        <w:strike w:val="false"/>
        <w:sz w:val="24"/>
        <w:i w:val="false"/>
        <w:u w:val="none" w:color="000000"/>
        <w:b w:val="false"/>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32"/>
      <w:szCs w:val="20"/>
      <w:lang w:val="ru-RU" w:eastAsia="zh-CN" w:bidi="hi-IN"/>
    </w:rPr>
  </w:style>
  <w:style w:type="paragraph" w:styleId="Heading2">
    <w:name w:val="Heading 2"/>
    <w:next w:val="Normal"/>
    <w:uiPriority w:val="9"/>
    <w:qFormat/>
    <w:pPr>
      <w:widowControl/>
      <w:suppressAutoHyphens w:val="true"/>
      <w:bidi w:val="0"/>
      <w:spacing w:lineRule="auto" w:line="240" w:before="120" w:after="120"/>
      <w:ind w:hanging="0" w:left="0" w:right="0"/>
      <w:jc w:val="both"/>
      <w:outlineLvl w:val="1"/>
    </w:pPr>
    <w:rPr>
      <w:rFonts w:ascii="XO Thames" w:hAnsi="XO Thames" w:eastAsia="NSimSun" w:cs="Lucida Sans"/>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40" w:before="120" w:after="120"/>
      <w:ind w:hanging="0" w:left="0" w:right="0"/>
      <w:jc w:val="both"/>
      <w:outlineLvl w:val="3"/>
    </w:pPr>
    <w:rPr>
      <w:rFonts w:ascii="XO Thames" w:hAnsi="XO Thames" w:eastAsia="NSimSun" w:cs="Lucida Sans"/>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2"/>
      <w:szCs w:val="20"/>
      <w:lang w:val="ru-RU" w:eastAsia="zh-CN" w:bidi="hi-IN"/>
    </w:rPr>
  </w:style>
  <w:style w:type="character" w:styleId="Style9">
    <w:name w:val="Содержимое таблицы"/>
    <w:link w:val="110"/>
    <w:qFormat/>
    <w:rPr/>
  </w:style>
  <w:style w:type="character" w:styleId="Contents2">
    <w:name w:val="Contents 2"/>
    <w:link w:val="Contents21"/>
    <w:qFormat/>
    <w:rPr>
      <w:rFonts w:ascii="XO Thames" w:hAnsi="XO Thames"/>
      <w:color w:val="000000"/>
      <w:spacing w:val="0"/>
      <w:sz w:val="28"/>
    </w:rPr>
  </w:style>
  <w:style w:type="character" w:styleId="Heading41">
    <w:name w:val="Heading 41"/>
    <w:qFormat/>
    <w:rPr>
      <w:rFonts w:ascii="XO Thames" w:hAnsi="XO Thames"/>
      <w:b/>
      <w:color w:val="000000"/>
      <w:spacing w:val="0"/>
      <w:sz w:val="24"/>
    </w:rPr>
  </w:style>
  <w:style w:type="character" w:styleId="Contents9">
    <w:name w:val="Contents 9"/>
    <w:link w:val="Contents91"/>
    <w:qFormat/>
    <w:rPr>
      <w:rFonts w:ascii="XO Thames" w:hAnsi="XO Thames"/>
      <w:color w:val="000000"/>
      <w:spacing w:val="0"/>
      <w:sz w:val="28"/>
    </w:rPr>
  </w:style>
  <w:style w:type="character" w:styleId="Contents4">
    <w:name w:val="Contents 4"/>
    <w:link w:val="Contents41"/>
    <w:qFormat/>
    <w:rPr>
      <w:rFonts w:ascii="XO Thames" w:hAnsi="XO Thames"/>
      <w:color w:val="000000"/>
      <w:spacing w:val="0"/>
      <w:sz w:val="28"/>
    </w:rPr>
  </w:style>
  <w:style w:type="character" w:styleId="6">
    <w:name w:val="Оглавление 6 Знак"/>
    <w:link w:val="61"/>
    <w:qFormat/>
    <w:rPr>
      <w:rFonts w:ascii="XO Thames" w:hAnsi="XO Thames"/>
      <w:color w:val="000000"/>
      <w:spacing w:val="0"/>
      <w:sz w:val="28"/>
    </w:rPr>
  </w:style>
  <w:style w:type="character" w:styleId="Contents6">
    <w:name w:val="Contents 6"/>
    <w:link w:val="Contents61"/>
    <w:qFormat/>
    <w:rPr>
      <w:rFonts w:ascii="XO Thames" w:hAnsi="XO Thames"/>
      <w:color w:val="000000"/>
      <w:spacing w:val="0"/>
      <w:sz w:val="28"/>
    </w:rPr>
  </w:style>
  <w:style w:type="character" w:styleId="Contents7">
    <w:name w:val="Contents 7"/>
    <w:link w:val="Contents71"/>
    <w:qFormat/>
    <w:rPr>
      <w:rFonts w:ascii="XO Thames" w:hAnsi="XO Thames"/>
      <w:color w:val="000000"/>
      <w:spacing w:val="0"/>
      <w:sz w:val="28"/>
    </w:rPr>
  </w:style>
  <w:style w:type="character" w:styleId="Header1">
    <w:name w:val="Header1"/>
    <w:qFormat/>
    <w:rPr>
      <w:rFonts w:ascii="Calibri" w:hAnsi="Calibri" w:asciiTheme="minorAscii" w:hAnsiTheme="minorHAnsi"/>
      <w:color w:val="000000"/>
      <w:spacing w:val="0"/>
      <w:sz w:val="22"/>
    </w:rPr>
  </w:style>
  <w:style w:type="character" w:styleId="1">
    <w:name w:val="Нижний колонтитул Знак1"/>
    <w:basedOn w:val="14"/>
    <w:link w:val="112"/>
    <w:qFormat/>
    <w:rPr>
      <w:rFonts w:ascii="Times New Roman" w:hAnsi="Times New Roman"/>
      <w:color w:val="000000"/>
      <w:sz w:val="28"/>
    </w:rPr>
  </w:style>
  <w:style w:type="character" w:styleId="Style10">
    <w:name w:val="Заголовок Знак"/>
    <w:link w:val="113"/>
    <w:qFormat/>
    <w:rPr>
      <w:rFonts w:ascii="XO Thames" w:hAnsi="XO Thames"/>
      <w:b/>
      <w:caps/>
      <w:color w:val="000000"/>
      <w:spacing w:val="0"/>
      <w:sz w:val="40"/>
    </w:rPr>
  </w:style>
  <w:style w:type="character" w:styleId="Style11">
    <w:name w:val="Подзаголовок Знак"/>
    <w:link w:val="114"/>
    <w:qFormat/>
    <w:rPr>
      <w:rFonts w:ascii="XO Thames" w:hAnsi="XO Thames"/>
      <w:i/>
      <w:color w:val="000000"/>
      <w:spacing w:val="0"/>
      <w:sz w:val="24"/>
    </w:rPr>
  </w:style>
  <w:style w:type="character" w:styleId="Style12">
    <w:name w:val="Указатель"/>
    <w:link w:val="19"/>
    <w:qFormat/>
    <w:rPr/>
  </w:style>
  <w:style w:type="character" w:styleId="Textbody">
    <w:name w:val="Text body"/>
    <w:link w:val="Textbody1"/>
    <w:qFormat/>
    <w:rPr>
      <w:rFonts w:ascii="Calibri" w:hAnsi="Calibri" w:asciiTheme="minorAscii" w:hAnsiTheme="minorHAnsi"/>
      <w:color w:val="000000"/>
      <w:spacing w:val="0"/>
      <w:sz w:val="22"/>
    </w:rPr>
  </w:style>
  <w:style w:type="character" w:styleId="Caption1">
    <w:name w:val="Caption1"/>
    <w:qFormat/>
    <w:rPr>
      <w:i/>
      <w:sz w:val="24"/>
    </w:rPr>
  </w:style>
  <w:style w:type="character" w:styleId="Endnote">
    <w:name w:val="Endnote"/>
    <w:link w:val="Endnote1"/>
    <w:qFormat/>
    <w:rPr>
      <w:rFonts w:ascii="XO Thames" w:hAnsi="XO Thames"/>
      <w:color w:val="000000"/>
      <w:spacing w:val="0"/>
      <w:sz w:val="22"/>
    </w:rPr>
  </w:style>
  <w:style w:type="character" w:styleId="Heading31">
    <w:name w:val="Heading 31"/>
    <w:qFormat/>
    <w:rPr>
      <w:rFonts w:ascii="XO Thames" w:hAnsi="XO Thames"/>
      <w:b/>
      <w:color w:val="000000"/>
      <w:sz w:val="26"/>
    </w:rPr>
  </w:style>
  <w:style w:type="character" w:styleId="NoSpacing">
    <w:name w:val="No Spacing"/>
    <w:link w:val="NoSpacing1"/>
    <w:qFormat/>
    <w:rPr>
      <w:rFonts w:ascii="Calibri" w:hAnsi="Calibri" w:asciiTheme="minorAscii" w:hAnsiTheme="minorHAnsi"/>
      <w:color w:val="000000"/>
      <w:spacing w:val="0"/>
      <w:sz w:val="22"/>
    </w:rPr>
  </w:style>
  <w:style w:type="character" w:styleId="Internetlink">
    <w:name w:val="Internet link"/>
    <w:basedOn w:val="DefaultParagraphFont"/>
    <w:link w:val="Internetlink1"/>
    <w:qFormat/>
    <w:rPr>
      <w:color w:themeColor="hyperlink" w:val="0563C1"/>
      <w:u w:val="single"/>
    </w:rPr>
  </w:style>
  <w:style w:type="character" w:styleId="11">
    <w:name w:val="Верхний колонтитул Знак1"/>
    <w:basedOn w:val="14"/>
    <w:link w:val="115"/>
    <w:qFormat/>
    <w:rPr>
      <w:rFonts w:ascii="Calibri" w:hAnsi="Calibri" w:asciiTheme="minorAscii" w:hAnsiTheme="minorHAnsi"/>
      <w:color w:val="000000"/>
      <w:sz w:val="22"/>
    </w:rPr>
  </w:style>
  <w:style w:type="character" w:styleId="Style13">
    <w:name w:val="Заголовок"/>
    <w:link w:val="22"/>
    <w:qFormat/>
    <w:rPr>
      <w:rFonts w:ascii="Liberation Sans" w:hAnsi="Liberation Sans"/>
      <w:sz w:val="28"/>
    </w:rPr>
  </w:style>
  <w:style w:type="character" w:styleId="2">
    <w:name w:val="Заголовок 2 Знак"/>
    <w:link w:val="211"/>
    <w:qFormat/>
    <w:rPr>
      <w:rFonts w:ascii="XO Thames" w:hAnsi="XO Thames"/>
      <w:b/>
      <w:color w:val="000000"/>
      <w:spacing w:val="0"/>
      <w:sz w:val="28"/>
    </w:rPr>
  </w:style>
  <w:style w:type="character" w:styleId="7">
    <w:name w:val="Оглавление 7 Знак"/>
    <w:link w:val="71"/>
    <w:qFormat/>
    <w:rPr>
      <w:rFonts w:ascii="XO Thames" w:hAnsi="XO Thames"/>
      <w:color w:val="000000"/>
      <w:spacing w:val="0"/>
      <w:sz w:val="28"/>
    </w:rPr>
  </w:style>
  <w:style w:type="character" w:styleId="3">
    <w:name w:val="Заголовок 3 Знак"/>
    <w:link w:val="311"/>
    <w:qFormat/>
    <w:rPr>
      <w:rFonts w:ascii="XO Thames" w:hAnsi="XO Thames"/>
      <w:b/>
      <w:color w:val="000000"/>
      <w:spacing w:val="0"/>
      <w:sz w:val="26"/>
    </w:rPr>
  </w:style>
  <w:style w:type="character" w:styleId="ListParagraph">
    <w:name w:val="List Paragraph"/>
    <w:link w:val="ListParagraph1"/>
    <w:qFormat/>
    <w:rPr/>
  </w:style>
  <w:style w:type="character" w:styleId="Style14">
    <w:name w:val="Список Знак"/>
    <w:basedOn w:val="Textbody"/>
    <w:link w:val="116"/>
    <w:qFormat/>
    <w:rPr>
      <w:rFonts w:ascii="Calibri" w:hAnsi="Calibri" w:asciiTheme="minorAscii" w:hAnsiTheme="minorHAnsi"/>
      <w:color w:val="000000"/>
      <w:sz w:val="22"/>
    </w:rPr>
  </w:style>
  <w:style w:type="character" w:styleId="Style15">
    <w:name w:val="Колонтитул"/>
    <w:link w:val="111"/>
    <w:qFormat/>
    <w:rPr>
      <w:rFonts w:ascii="XO Thames" w:hAnsi="XO Thames"/>
      <w:color w:val="000000"/>
      <w:spacing w:val="0"/>
      <w:sz w:val="20"/>
    </w:rPr>
  </w:style>
  <w:style w:type="character" w:styleId="12">
    <w:name w:val="Строгий1"/>
    <w:basedOn w:val="17"/>
    <w:link w:val="117"/>
    <w:qFormat/>
    <w:rPr>
      <w:b/>
    </w:rPr>
  </w:style>
  <w:style w:type="character" w:styleId="Caption2">
    <w:name w:val="caption2"/>
    <w:link w:val="Caption3"/>
    <w:qFormat/>
    <w:rPr>
      <w:i/>
      <w:sz w:val="24"/>
    </w:rPr>
  </w:style>
  <w:style w:type="character" w:styleId="4">
    <w:name w:val="Заголовок 4 Знак"/>
    <w:link w:val="411"/>
    <w:qFormat/>
    <w:rPr>
      <w:rFonts w:ascii="XO Thames" w:hAnsi="XO Thames"/>
      <w:b/>
      <w:color w:val="000000"/>
      <w:spacing w:val="0"/>
      <w:sz w:val="24"/>
    </w:rPr>
  </w:style>
  <w:style w:type="character" w:styleId="Contents3">
    <w:name w:val="Contents 3"/>
    <w:link w:val="Contents31"/>
    <w:qFormat/>
    <w:rPr>
      <w:rFonts w:ascii="XO Thames" w:hAnsi="XO Thames"/>
      <w:color w:val="000000"/>
      <w:spacing w:val="0"/>
      <w:sz w:val="28"/>
    </w:rPr>
  </w:style>
  <w:style w:type="character" w:styleId="13">
    <w:name w:val="Заголовок 1 Знак"/>
    <w:link w:val="118"/>
    <w:qFormat/>
    <w:rPr>
      <w:rFonts w:ascii="XO Thames" w:hAnsi="XO Thames"/>
      <w:b/>
      <w:color w:val="000000"/>
      <w:spacing w:val="0"/>
      <w:sz w:val="32"/>
    </w:rPr>
  </w:style>
  <w:style w:type="character" w:styleId="21">
    <w:name w:val="Оглавление 2 Знак"/>
    <w:link w:val="212"/>
    <w:qFormat/>
    <w:rPr>
      <w:rFonts w:ascii="XO Thames" w:hAnsi="XO Thames"/>
      <w:color w:val="000000"/>
      <w:spacing w:val="0"/>
      <w:sz w:val="28"/>
    </w:rPr>
  </w:style>
  <w:style w:type="character" w:styleId="Heading51">
    <w:name w:val="Heading 51"/>
    <w:qFormat/>
    <w:rPr>
      <w:rFonts w:ascii="XO Thames" w:hAnsi="XO Thames"/>
      <w:b/>
      <w:color w:val="000000"/>
      <w:sz w:val="22"/>
    </w:rPr>
  </w:style>
  <w:style w:type="character" w:styleId="Heading21">
    <w:name w:val="Heading 21"/>
    <w:qFormat/>
    <w:rPr>
      <w:rFonts w:ascii="XO Thames" w:hAnsi="XO Thames"/>
      <w:b/>
      <w:color w:val="000000"/>
      <w:spacing w:val="0"/>
      <w:sz w:val="28"/>
    </w:rPr>
  </w:style>
  <w:style w:type="character" w:styleId="5">
    <w:name w:val="Оглавление 5 Знак"/>
    <w:link w:val="511"/>
    <w:qFormat/>
    <w:rPr>
      <w:rFonts w:ascii="XO Thames" w:hAnsi="XO Thames"/>
      <w:color w:val="000000"/>
      <w:spacing w:val="0"/>
      <w:sz w:val="28"/>
    </w:rPr>
  </w:style>
  <w:style w:type="character" w:styleId="51">
    <w:name w:val="Заголовок 5 Знак"/>
    <w:link w:val="512"/>
    <w:qFormat/>
    <w:rPr>
      <w:rFonts w:ascii="XO Thames" w:hAnsi="XO Thames"/>
      <w:b/>
      <w:color w:val="000000"/>
      <w:spacing w:val="0"/>
      <w:sz w:val="22"/>
    </w:rPr>
  </w:style>
  <w:style w:type="character" w:styleId="Heading11">
    <w:name w:val="Heading 11"/>
    <w:qFormat/>
    <w:rPr>
      <w:rFonts w:ascii="XO Thames" w:hAnsi="XO Thames"/>
      <w:b/>
      <w:color w:val="000000"/>
      <w:sz w:val="32"/>
    </w:rPr>
  </w:style>
  <w:style w:type="character" w:styleId="8">
    <w:name w:val="Оглавление 8 Знак"/>
    <w:link w:val="81"/>
    <w:qFormat/>
    <w:rPr>
      <w:rFonts w:ascii="XO Thames" w:hAnsi="XO Thames"/>
      <w:color w:val="000000"/>
      <w:spacing w:val="0"/>
      <w:sz w:val="28"/>
    </w:rPr>
  </w:style>
  <w:style w:type="character" w:styleId="Title1">
    <w:name w:val="Title1"/>
    <w:qFormat/>
    <w:rPr>
      <w:rFonts w:ascii="XO Thames" w:hAnsi="XO Thames"/>
      <w:b/>
      <w:caps/>
      <w:color w:val="000000"/>
      <w:sz w:val="40"/>
    </w:rPr>
  </w:style>
  <w:style w:type="character" w:styleId="31">
    <w:name w:val="Основной текст (3)"/>
    <w:link w:val="312"/>
    <w:qFormat/>
    <w:rPr>
      <w:rFonts w:ascii="Times New Roman" w:hAnsi="Times New Roman"/>
      <w:sz w:val="28"/>
    </w:rPr>
  </w:style>
  <w:style w:type="character" w:styleId="Footer1">
    <w:name w:val="Footer1"/>
    <w:qFormat/>
    <w:rPr>
      <w:rFonts w:ascii="Times New Roman" w:hAnsi="Times New Roman"/>
      <w:sz w:val="28"/>
    </w:rPr>
  </w:style>
  <w:style w:type="character" w:styleId="Hyperlink">
    <w:name w:val="Hyperlink"/>
    <w:basedOn w:val="DefaultParagraphFont"/>
    <w:rPr>
      <w:color w:themeColor="hyperlink" w:val="0563C1"/>
      <w:u w:val="single"/>
    </w:rPr>
  </w:style>
  <w:style w:type="character" w:styleId="Footnote">
    <w:name w:val="Footnote"/>
    <w:link w:val="Footnote1"/>
    <w:qFormat/>
    <w:rPr>
      <w:rFonts w:ascii="XO Thames" w:hAnsi="XO Thames"/>
      <w:color w:val="000000"/>
      <w:spacing w:val="0"/>
      <w:sz w:val="22"/>
    </w:rPr>
  </w:style>
  <w:style w:type="character" w:styleId="Contents1">
    <w:name w:val="Contents 1"/>
    <w:link w:val="Contents11"/>
    <w:qFormat/>
    <w:rPr>
      <w:rFonts w:ascii="XO Thames" w:hAnsi="XO Thames"/>
      <w:b/>
      <w:color w:val="000000"/>
      <w:spacing w:val="0"/>
      <w:sz w:val="28"/>
    </w:rPr>
  </w:style>
  <w:style w:type="character" w:styleId="14">
    <w:name w:val="Обычный1"/>
    <w:link w:val="119"/>
    <w:qFormat/>
    <w:rPr>
      <w:rFonts w:ascii="Calibri" w:hAnsi="Calibri" w:asciiTheme="minorAscii" w:hAnsiTheme="minorHAnsi"/>
      <w:color w:val="000000"/>
      <w:spacing w:val="0"/>
      <w:sz w:val="22"/>
    </w:rPr>
  </w:style>
  <w:style w:type="character" w:styleId="HeaderandFooter">
    <w:name w:val="Header and Footer"/>
    <w:qFormat/>
    <w:rPr>
      <w:rFonts w:ascii="XO Thames" w:hAnsi="XO Thames"/>
      <w:sz w:val="20"/>
    </w:rPr>
  </w:style>
  <w:style w:type="character" w:styleId="List1">
    <w:name w:val="List1"/>
    <w:basedOn w:val="Textbody"/>
    <w:qFormat/>
    <w:rPr/>
  </w:style>
  <w:style w:type="character" w:styleId="15">
    <w:name w:val="Оглавление 1 Знак"/>
    <w:link w:val="1110"/>
    <w:qFormat/>
    <w:rPr>
      <w:rFonts w:ascii="XO Thames" w:hAnsi="XO Thames"/>
      <w:b/>
      <w:color w:val="000000"/>
      <w:spacing w:val="0"/>
      <w:sz w:val="28"/>
    </w:rPr>
  </w:style>
  <w:style w:type="character" w:styleId="DefaultParagraphFont">
    <w:name w:val="Default Paragraph Font"/>
    <w:link w:val="DefaultParagraphFont1"/>
    <w:qFormat/>
    <w:rPr>
      <w:rFonts w:ascii="Calibri" w:hAnsi="Calibri" w:asciiTheme="minorAscii" w:hAnsiTheme="minorHAnsi"/>
      <w:color w:val="000000"/>
      <w:spacing w:val="0"/>
      <w:sz w:val="22"/>
    </w:rPr>
  </w:style>
  <w:style w:type="character" w:styleId="16">
    <w:name w:val="Гиперссылка1"/>
    <w:basedOn w:val="17"/>
    <w:link w:val="1111"/>
    <w:qFormat/>
    <w:rPr>
      <w:color w:themeColor="hyperlink" w:val="0563C1"/>
      <w:u w:val="single"/>
    </w:rPr>
  </w:style>
  <w:style w:type="character" w:styleId="Subtitle1">
    <w:name w:val="Subtitle1"/>
    <w:qFormat/>
    <w:rPr>
      <w:rFonts w:ascii="XO Thames" w:hAnsi="XO Thames"/>
      <w:i/>
      <w:color w:val="000000"/>
      <w:sz w:val="24"/>
    </w:rPr>
  </w:style>
  <w:style w:type="character" w:styleId="Contents8">
    <w:name w:val="Contents 8"/>
    <w:link w:val="Contents81"/>
    <w:qFormat/>
    <w:rPr>
      <w:rFonts w:ascii="XO Thames" w:hAnsi="XO Thames"/>
      <w:color w:val="000000"/>
      <w:spacing w:val="0"/>
      <w:sz w:val="28"/>
    </w:rPr>
  </w:style>
  <w:style w:type="character" w:styleId="Style16">
    <w:name w:val="Основной текст Знак"/>
    <w:basedOn w:val="14"/>
    <w:link w:val="120"/>
    <w:qFormat/>
    <w:rPr>
      <w:rFonts w:ascii="Calibri" w:hAnsi="Calibri" w:asciiTheme="minorAscii" w:hAnsiTheme="minorHAnsi"/>
      <w:color w:val="000000"/>
      <w:sz w:val="22"/>
    </w:rPr>
  </w:style>
  <w:style w:type="character" w:styleId="17">
    <w:name w:val="Основной шрифт абзаца1"/>
    <w:link w:val="1112"/>
    <w:qFormat/>
    <w:rPr>
      <w:rFonts w:ascii="Calibri" w:hAnsi="Calibri" w:asciiTheme="minorAscii" w:hAnsiTheme="minorHAnsi"/>
      <w:color w:val="000000"/>
      <w:spacing w:val="0"/>
      <w:sz w:val="22"/>
    </w:rPr>
  </w:style>
  <w:style w:type="character" w:styleId="Indexheading">
    <w:name w:val="index heading"/>
    <w:link w:val="Indexheading1"/>
    <w:qFormat/>
    <w:rPr/>
  </w:style>
  <w:style w:type="character" w:styleId="Contents5">
    <w:name w:val="Contents 5"/>
    <w:link w:val="Contents51"/>
    <w:qFormat/>
    <w:rPr>
      <w:rFonts w:ascii="XO Thames" w:hAnsi="XO Thames"/>
      <w:color w:val="000000"/>
      <w:spacing w:val="0"/>
      <w:sz w:val="28"/>
    </w:rPr>
  </w:style>
  <w:style w:type="character" w:styleId="Style17">
    <w:name w:val="Верхний колонтитул Знак"/>
    <w:basedOn w:val="17"/>
    <w:link w:val="23"/>
    <w:qFormat/>
    <w:rPr/>
  </w:style>
  <w:style w:type="character" w:styleId="PlainText">
    <w:name w:val="Plain Text"/>
    <w:link w:val="PlainText1"/>
    <w:qFormat/>
    <w:rPr>
      <w:rFonts w:ascii="Calibri" w:hAnsi="Calibri"/>
    </w:rPr>
  </w:style>
  <w:style w:type="character" w:styleId="Style18">
    <w:name w:val="Нижний колонтитул Знак"/>
    <w:basedOn w:val="17"/>
    <w:link w:val="24"/>
    <w:qFormat/>
    <w:rPr>
      <w:rFonts w:ascii="Times New Roman" w:hAnsi="Times New Roman"/>
      <w:sz w:val="28"/>
    </w:rPr>
  </w:style>
  <w:style w:type="character" w:styleId="BalloonText">
    <w:name w:val="Balloon Text"/>
    <w:link w:val="BalloonText1"/>
    <w:qFormat/>
    <w:rPr>
      <w:rFonts w:ascii="Segoe UI" w:hAnsi="Segoe UI"/>
      <w:sz w:val="18"/>
    </w:rPr>
  </w:style>
  <w:style w:type="character" w:styleId="41">
    <w:name w:val="Оглавление 4 Знак"/>
    <w:link w:val="412"/>
    <w:qFormat/>
    <w:rPr>
      <w:rFonts w:ascii="XO Thames" w:hAnsi="XO Thames"/>
      <w:color w:val="000000"/>
      <w:spacing w:val="0"/>
      <w:sz w:val="28"/>
    </w:rPr>
  </w:style>
  <w:style w:type="character" w:styleId="9">
    <w:name w:val="Оглавление 9 Знак"/>
    <w:link w:val="91"/>
    <w:qFormat/>
    <w:rPr>
      <w:rFonts w:ascii="XO Thames" w:hAnsi="XO Thames"/>
      <w:color w:val="000000"/>
      <w:spacing w:val="0"/>
      <w:sz w:val="28"/>
    </w:rPr>
  </w:style>
  <w:style w:type="character" w:styleId="18">
    <w:name w:val="Заголовок1"/>
    <w:basedOn w:val="14"/>
    <w:link w:val="1113"/>
    <w:qFormat/>
    <w:rPr>
      <w:rFonts w:ascii="Liberation Sans" w:hAnsi="Liberation Sans"/>
      <w:color w:val="000000"/>
      <w:sz w:val="28"/>
    </w:rPr>
  </w:style>
  <w:style w:type="character" w:styleId="NormalWeb">
    <w:name w:val="Normal (Web)"/>
    <w:link w:val="NormalWeb1"/>
    <w:qFormat/>
    <w:rPr>
      <w:rFonts w:ascii="Times New Roman" w:hAnsi="Times New Roman"/>
      <w:sz w:val="24"/>
    </w:rPr>
  </w:style>
  <w:style w:type="character" w:styleId="32">
    <w:name w:val="Оглавление 3 Знак"/>
    <w:link w:val="313"/>
    <w:qFormat/>
    <w:rPr>
      <w:rFonts w:ascii="XO Thames" w:hAnsi="XO Thames"/>
      <w:color w:val="000000"/>
      <w:spacing w:val="0"/>
      <w:sz w:val="28"/>
    </w:rPr>
  </w:style>
  <w:style w:type="paragraph" w:styleId="22">
    <w:name w:val="Заголовок2"/>
    <w:basedOn w:val="Normal"/>
    <w:next w:val="BodyText"/>
    <w:link w:val="Style13"/>
    <w:qFormat/>
    <w:pPr>
      <w:keepNext w:val="true"/>
      <w:spacing w:before="240" w:after="120"/>
    </w:pPr>
    <w:rPr>
      <w:rFonts w:ascii="Liberation Sans" w:hAnsi="Liberation Sans"/>
      <w:sz w:val="28"/>
    </w:rPr>
  </w:style>
  <w:style w:type="paragraph" w:styleId="BodyText">
    <w:name w:val="Body Text"/>
    <w:basedOn w:val="Normal"/>
    <w:pPr>
      <w:spacing w:lineRule="auto" w:line="276" w:before="0" w:after="140"/>
    </w:pPr>
    <w:rPr/>
  </w:style>
  <w:style w:type="paragraph" w:styleId="List">
    <w:name w:val="List"/>
    <w:basedOn w:val="Textbody1"/>
    <w:pPr/>
    <w:rPr/>
  </w:style>
  <w:style w:type="paragraph" w:styleId="Caption">
    <w:name w:val="Caption"/>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i/>
      <w:color w:val="000000"/>
      <w:spacing w:val="0"/>
      <w:kern w:val="0"/>
      <w:sz w:val="24"/>
      <w:szCs w:val="20"/>
      <w:lang w:val="ru-RU" w:eastAsia="zh-CN" w:bidi="hi-IN"/>
    </w:rPr>
  </w:style>
  <w:style w:type="paragraph" w:styleId="19">
    <w:name w:val="Указатель1"/>
    <w:basedOn w:val="Normal"/>
    <w:link w:val="Style12"/>
    <w:qFormat/>
    <w:pPr/>
    <w:rPr/>
  </w:style>
  <w:style w:type="paragraph" w:styleId="110">
    <w:name w:val="Содержимое таблицы1"/>
    <w:basedOn w:val="Normal"/>
    <w:link w:val="Style9"/>
    <w:qFormat/>
    <w:pPr>
      <w:widowControl w:val="false"/>
    </w:pPr>
    <w:rPr/>
  </w:style>
  <w:style w:type="paragraph" w:styleId="TOC2">
    <w:name w:val="TOC 2"/>
    <w:next w:val="Normal"/>
    <w:uiPriority w:val="39"/>
    <w:pPr>
      <w:widowControl/>
      <w:suppressAutoHyphens w:val="true"/>
      <w:bidi w:val="0"/>
      <w:spacing w:lineRule="auto" w:line="240" w:before="0" w:after="0"/>
      <w:ind w:hanging="0" w:left="200" w:right="0"/>
      <w:jc w:val="left"/>
    </w:pPr>
    <w:rPr>
      <w:rFonts w:ascii="XO Thames" w:hAnsi="XO Thames" w:eastAsia="NSimSun" w:cs="Lucida Sans"/>
      <w:color w:val="000000"/>
      <w:spacing w:val="0"/>
      <w:kern w:val="0"/>
      <w:sz w:val="28"/>
      <w:szCs w:val="20"/>
      <w:lang w:val="ru-RU" w:eastAsia="zh-CN" w:bidi="hi-IN"/>
    </w:rPr>
  </w:style>
  <w:style w:type="paragraph" w:styleId="Contents91">
    <w:name w:val="Contents 91"/>
    <w:link w:val="Contents9"/>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OC4">
    <w:name w:val="TOC 4"/>
    <w:next w:val="Normal"/>
    <w:uiPriority w:val="39"/>
    <w:pPr>
      <w:widowControl/>
      <w:suppressAutoHyphens w:val="true"/>
      <w:bidi w:val="0"/>
      <w:spacing w:lineRule="auto" w:line="240" w:before="0" w:after="0"/>
      <w:ind w:hanging="0" w:left="600" w:right="0"/>
      <w:jc w:val="left"/>
    </w:pPr>
    <w:rPr>
      <w:rFonts w:ascii="XO Thames" w:hAnsi="XO Thames" w:eastAsia="NSimSun" w:cs="Lucida Sans"/>
      <w:color w:val="000000"/>
      <w:spacing w:val="0"/>
      <w:kern w:val="0"/>
      <w:sz w:val="28"/>
      <w:szCs w:val="20"/>
      <w:lang w:val="ru-RU" w:eastAsia="zh-CN" w:bidi="hi-IN"/>
    </w:rPr>
  </w:style>
  <w:style w:type="paragraph" w:styleId="61">
    <w:name w:val="Оглавление 6 Знак1"/>
    <w:link w:val="6"/>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40" w:before="0" w:after="0"/>
      <w:ind w:hanging="0" w:left="1000" w:right="0"/>
      <w:jc w:val="left"/>
    </w:pPr>
    <w:rPr>
      <w:rFonts w:ascii="XO Thames" w:hAnsi="XO Thames" w:eastAsia="NSimSun" w:cs="Lucida Sans"/>
      <w:color w:val="000000"/>
      <w:spacing w:val="0"/>
      <w:kern w:val="0"/>
      <w:sz w:val="28"/>
      <w:szCs w:val="20"/>
      <w:lang w:val="ru-RU" w:eastAsia="zh-CN" w:bidi="hi-IN"/>
    </w:rPr>
  </w:style>
  <w:style w:type="paragraph" w:styleId="TOC7">
    <w:name w:val="TOC 7"/>
    <w:next w:val="Normal"/>
    <w:uiPriority w:val="39"/>
    <w:pPr>
      <w:widowControl/>
      <w:suppressAutoHyphens w:val="true"/>
      <w:bidi w:val="0"/>
      <w:spacing w:lineRule="auto" w:line="240" w:before="0" w:after="0"/>
      <w:ind w:hanging="0" w:left="1200" w:right="0"/>
      <w:jc w:val="left"/>
    </w:pPr>
    <w:rPr>
      <w:rFonts w:ascii="XO Thames" w:hAnsi="XO Thames" w:eastAsia="NSimSun" w:cs="Lucida Sans"/>
      <w:color w:val="000000"/>
      <w:spacing w:val="0"/>
      <w:kern w:val="0"/>
      <w:sz w:val="28"/>
      <w:szCs w:val="20"/>
      <w:lang w:val="ru-RU" w:eastAsia="zh-CN" w:bidi="hi-IN"/>
    </w:rPr>
  </w:style>
  <w:style w:type="paragraph" w:styleId="111">
    <w:name w:val="Колонтитул1"/>
    <w:link w:val="Style15"/>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0"/>
      <w:szCs w:val="20"/>
      <w:lang w:val="ru-RU" w:eastAsia="zh-CN" w:bidi="hi-IN"/>
    </w:rPr>
  </w:style>
  <w:style w:type="paragraph" w:styleId="Header">
    <w:name w:val="Header"/>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Contents41">
    <w:name w:val="Contents 41"/>
    <w:link w:val="Contents4"/>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2">
    <w:name w:val="Нижний колонтитул Знак11"/>
    <w:basedOn w:val="119"/>
    <w:link w:val="1"/>
    <w:qFormat/>
    <w:pPr/>
    <w:rPr>
      <w:rFonts w:ascii="Times New Roman" w:hAnsi="Times New Roman"/>
      <w:color w:val="000000"/>
      <w:sz w:val="28"/>
    </w:rPr>
  </w:style>
  <w:style w:type="paragraph" w:styleId="113">
    <w:name w:val="Заголовок Знак1"/>
    <w:link w:val="Style10"/>
    <w:qFormat/>
    <w:pPr>
      <w:widowControl/>
      <w:suppressAutoHyphens w:val="true"/>
      <w:bidi w:val="0"/>
      <w:spacing w:lineRule="auto" w:line="240" w:before="0" w:after="0"/>
      <w:ind w:hanging="0" w:left="0" w:right="0"/>
      <w:jc w:val="left"/>
    </w:pPr>
    <w:rPr>
      <w:rFonts w:ascii="XO Thames" w:hAnsi="XO Thames" w:eastAsia="NSimSun" w:cs="Lucida Sans"/>
      <w:b/>
      <w:caps/>
      <w:color w:val="000000"/>
      <w:spacing w:val="0"/>
      <w:kern w:val="0"/>
      <w:sz w:val="40"/>
      <w:szCs w:val="20"/>
      <w:lang w:val="ru-RU" w:eastAsia="zh-CN" w:bidi="hi-IN"/>
    </w:rPr>
  </w:style>
  <w:style w:type="paragraph" w:styleId="114">
    <w:name w:val="Подзаголовок Знак1"/>
    <w:link w:val="Style11"/>
    <w:qFormat/>
    <w:pPr>
      <w:widowControl/>
      <w:suppressAutoHyphens w:val="true"/>
      <w:bidi w:val="0"/>
      <w:spacing w:lineRule="auto" w:line="240" w:before="0" w:after="0"/>
      <w:ind w:hanging="0" w:left="0" w:right="0"/>
      <w:jc w:val="left"/>
    </w:pPr>
    <w:rPr>
      <w:rFonts w:ascii="XO Thames" w:hAnsi="XO Thames" w:eastAsia="NSimSun" w:cs="Lucida Sans"/>
      <w:i/>
      <w:color w:val="000000"/>
      <w:spacing w:val="0"/>
      <w:kern w:val="0"/>
      <w:sz w:val="24"/>
      <w:szCs w:val="20"/>
      <w:lang w:val="ru-RU" w:eastAsia="zh-CN" w:bidi="hi-IN"/>
    </w:rPr>
  </w:style>
  <w:style w:type="paragraph" w:styleId="Endnote1">
    <w:name w:val="Endnote1"/>
    <w:link w:val="Endnote"/>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NoSpacing1">
    <w:name w:val="No Spacing1"/>
    <w:link w:val="NoSpacing"/>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Internetlink1">
    <w:name w:val="Internet link1"/>
    <w:basedOn w:val="DefaultParagraphFont1"/>
    <w:link w:val="Internetlink"/>
    <w:qFormat/>
    <w:pPr/>
    <w:rPr>
      <w:color w:themeColor="hyperlink" w:val="0563C1"/>
      <w:u w:val="single"/>
    </w:rPr>
  </w:style>
  <w:style w:type="paragraph" w:styleId="Textbody1">
    <w:name w:val="Text body1"/>
    <w:link w:val="Textbody"/>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115">
    <w:name w:val="Верхний колонтитул Знак11"/>
    <w:basedOn w:val="119"/>
    <w:link w:val="11"/>
    <w:qFormat/>
    <w:pPr/>
    <w:rPr>
      <w:rFonts w:ascii="Calibri" w:hAnsi="Calibri" w:asciiTheme="minorAscii" w:hAnsiTheme="minorHAnsi"/>
      <w:color w:val="000000"/>
      <w:sz w:val="22"/>
    </w:rPr>
  </w:style>
  <w:style w:type="paragraph" w:styleId="211">
    <w:name w:val="Заголовок 2 Знак1"/>
    <w:link w:val="2"/>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71">
    <w:name w:val="Оглавление 7 Знак1"/>
    <w:link w:val="7"/>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Contents21">
    <w:name w:val="Contents 21"/>
    <w:link w:val="Contents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311">
    <w:name w:val="Заголовок 3 Знак1"/>
    <w:link w:val="3"/>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6"/>
      <w:szCs w:val="20"/>
      <w:lang w:val="ru-RU" w:eastAsia="zh-CN" w:bidi="hi-IN"/>
    </w:rPr>
  </w:style>
  <w:style w:type="paragraph" w:styleId="ListParagraph1">
    <w:name w:val="List Paragraph1"/>
    <w:basedOn w:val="Normal"/>
    <w:link w:val="ListParagraph"/>
    <w:qFormat/>
    <w:pPr>
      <w:spacing w:before="0" w:after="160"/>
      <w:ind w:hanging="0" w:left="720" w:right="0"/>
      <w:contextualSpacing/>
    </w:pPr>
    <w:rPr/>
  </w:style>
  <w:style w:type="paragraph" w:styleId="116">
    <w:name w:val="Список Знак1"/>
    <w:basedOn w:val="BodyText"/>
    <w:link w:val="Style14"/>
    <w:qFormat/>
    <w:pPr/>
    <w:rPr>
      <w:rFonts w:ascii="Calibri" w:hAnsi="Calibri" w:asciiTheme="minorAscii" w:hAnsiTheme="minorHAnsi"/>
      <w:color w:val="000000"/>
      <w:sz w:val="22"/>
    </w:rPr>
  </w:style>
  <w:style w:type="paragraph" w:styleId="117">
    <w:name w:val="Строгий11"/>
    <w:basedOn w:val="1112"/>
    <w:link w:val="12"/>
    <w:qFormat/>
    <w:pPr/>
    <w:rPr>
      <w:b/>
    </w:rPr>
  </w:style>
  <w:style w:type="paragraph" w:styleId="Caption3">
    <w:name w:val="caption3"/>
    <w:basedOn w:val="Normal"/>
    <w:link w:val="Caption2"/>
    <w:qFormat/>
    <w:pPr>
      <w:spacing w:before="120" w:after="120"/>
    </w:pPr>
    <w:rPr>
      <w:i/>
      <w:sz w:val="24"/>
    </w:rPr>
  </w:style>
  <w:style w:type="paragraph" w:styleId="411">
    <w:name w:val="Заголовок 4 Знак1"/>
    <w:link w:val="4"/>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4"/>
      <w:szCs w:val="20"/>
      <w:lang w:val="ru-RU" w:eastAsia="zh-CN" w:bidi="hi-IN"/>
    </w:rPr>
  </w:style>
  <w:style w:type="paragraph" w:styleId="TOC3">
    <w:name w:val="TOC 3"/>
    <w:next w:val="Normal"/>
    <w:uiPriority w:val="39"/>
    <w:pPr>
      <w:widowControl/>
      <w:suppressAutoHyphens w:val="true"/>
      <w:bidi w:val="0"/>
      <w:spacing w:lineRule="auto" w:line="240" w:before="0" w:after="0"/>
      <w:ind w:hanging="0" w:left="400" w:right="0"/>
      <w:jc w:val="left"/>
    </w:pPr>
    <w:rPr>
      <w:rFonts w:ascii="XO Thames" w:hAnsi="XO Thames" w:eastAsia="NSimSun" w:cs="Lucida Sans"/>
      <w:color w:val="000000"/>
      <w:spacing w:val="0"/>
      <w:kern w:val="0"/>
      <w:sz w:val="28"/>
      <w:szCs w:val="20"/>
      <w:lang w:val="ru-RU" w:eastAsia="zh-CN" w:bidi="hi-IN"/>
    </w:rPr>
  </w:style>
  <w:style w:type="paragraph" w:styleId="118">
    <w:name w:val="Заголовок 1 Знак1"/>
    <w:link w:val="13"/>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32"/>
      <w:szCs w:val="20"/>
      <w:lang w:val="ru-RU" w:eastAsia="zh-CN" w:bidi="hi-IN"/>
    </w:rPr>
  </w:style>
  <w:style w:type="paragraph" w:styleId="212">
    <w:name w:val="Оглавление 2 Знак1"/>
    <w:link w:val="2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511">
    <w:name w:val="Оглавление 5 Знак1"/>
    <w:link w:val="5"/>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512">
    <w:name w:val="Заголовок 5 Знак1"/>
    <w:link w:val="5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2"/>
      <w:szCs w:val="20"/>
      <w:lang w:val="ru-RU" w:eastAsia="zh-CN" w:bidi="hi-IN"/>
    </w:rPr>
  </w:style>
  <w:style w:type="paragraph" w:styleId="81">
    <w:name w:val="Оглавление 8 Знак1"/>
    <w:link w:val="8"/>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itle">
    <w:name w:val="Title"/>
    <w:next w:val="BodyText"/>
    <w:uiPriority w:val="10"/>
    <w:qFormat/>
    <w:pPr>
      <w:widowControl/>
      <w:suppressAutoHyphens w:val="true"/>
      <w:bidi w:val="0"/>
      <w:spacing w:lineRule="auto" w:line="240" w:before="0" w:after="0"/>
      <w:ind w:hanging="0" w:left="0" w:right="0"/>
      <w:jc w:val="left"/>
    </w:pPr>
    <w:rPr>
      <w:rFonts w:ascii="XO Thames" w:hAnsi="XO Thames" w:eastAsia="NSimSun" w:cs="Lucida Sans"/>
      <w:b/>
      <w:caps/>
      <w:color w:val="000000"/>
      <w:spacing w:val="0"/>
      <w:kern w:val="0"/>
      <w:sz w:val="40"/>
      <w:szCs w:val="20"/>
      <w:lang w:val="ru-RU" w:eastAsia="zh-CN" w:bidi="hi-IN"/>
    </w:rPr>
  </w:style>
  <w:style w:type="paragraph" w:styleId="312">
    <w:name w:val="Основной текст (3)1"/>
    <w:basedOn w:val="Normal"/>
    <w:link w:val="31"/>
    <w:qFormat/>
    <w:pPr>
      <w:widowControl w:val="false"/>
      <w:spacing w:lineRule="exact" w:line="324" w:before="0" w:after="0"/>
      <w:jc w:val="both"/>
    </w:pPr>
    <w:rPr>
      <w:rFonts w:ascii="Times New Roman" w:hAnsi="Times New Roman"/>
      <w:sz w:val="28"/>
    </w:rPr>
  </w:style>
  <w:style w:type="paragraph" w:styleId="Footer">
    <w:name w:val="Footer"/>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8"/>
      <w:szCs w:val="20"/>
      <w:lang w:val="ru-RU" w:eastAsia="zh-CN" w:bidi="hi-IN"/>
    </w:rPr>
  </w:style>
  <w:style w:type="paragraph" w:styleId="Footnote1">
    <w:name w:val="Footnote1"/>
    <w:link w:val="Footnote"/>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TOC1">
    <w:name w:val="TOC 1"/>
    <w:next w:val="Normal"/>
    <w:uiPriority w:val="39"/>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119">
    <w:name w:val="Обычный11"/>
    <w:link w:val="14"/>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1110">
    <w:name w:val="Оглавление 1 Знак1"/>
    <w:link w:val="15"/>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DefaultParagraphFont1">
    <w:name w:val="Default Paragraph Font1"/>
    <w:link w:val="DefaultParagraphFont"/>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1111">
    <w:name w:val="Гиперссылка11"/>
    <w:basedOn w:val="1112"/>
    <w:link w:val="16"/>
    <w:qFormat/>
    <w:pPr/>
    <w:rPr>
      <w:color w:themeColor="hyperlink" w:val="0563C1"/>
      <w:u w:val="single"/>
    </w:rPr>
  </w:style>
  <w:style w:type="paragraph" w:styleId="Subtitle">
    <w:name w:val="Subtitle"/>
    <w:next w:val="Normal"/>
    <w:uiPriority w:val="11"/>
    <w:qFormat/>
    <w:pPr>
      <w:widowControl/>
      <w:suppressAutoHyphens w:val="true"/>
      <w:bidi w:val="0"/>
      <w:spacing w:lineRule="auto" w:line="240" w:before="0" w:after="0"/>
      <w:ind w:hanging="0" w:left="0" w:right="0"/>
      <w:jc w:val="left"/>
    </w:pPr>
    <w:rPr>
      <w:rFonts w:ascii="XO Thames" w:hAnsi="XO Thames" w:eastAsia="NSimSun" w:cs="Lucida Sans"/>
      <w:i/>
      <w:color w:val="000000"/>
      <w:spacing w:val="0"/>
      <w:kern w:val="0"/>
      <w:sz w:val="24"/>
      <w:szCs w:val="20"/>
      <w:lang w:val="ru-RU" w:eastAsia="zh-CN" w:bidi="hi-IN"/>
    </w:rPr>
  </w:style>
  <w:style w:type="paragraph" w:styleId="TOC9">
    <w:name w:val="TOC 9"/>
    <w:next w:val="Normal"/>
    <w:uiPriority w:val="39"/>
    <w:pPr>
      <w:widowControl/>
      <w:suppressAutoHyphens w:val="true"/>
      <w:bidi w:val="0"/>
      <w:spacing w:lineRule="auto" w:line="240" w:before="0" w:after="0"/>
      <w:ind w:hanging="0" w:left="1600" w:right="0"/>
      <w:jc w:val="left"/>
    </w:pPr>
    <w:rPr>
      <w:rFonts w:ascii="XO Thames" w:hAnsi="XO Thames" w:eastAsia="NSimSun" w:cs="Lucida Sans"/>
      <w:color w:val="000000"/>
      <w:spacing w:val="0"/>
      <w:kern w:val="0"/>
      <w:sz w:val="28"/>
      <w:szCs w:val="20"/>
      <w:lang w:val="ru-RU" w:eastAsia="zh-CN" w:bidi="hi-IN"/>
    </w:rPr>
  </w:style>
  <w:style w:type="paragraph" w:styleId="Contents61">
    <w:name w:val="Contents 61"/>
    <w:link w:val="Contents6"/>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OC8">
    <w:name w:val="TOC 8"/>
    <w:next w:val="Normal"/>
    <w:uiPriority w:val="39"/>
    <w:pPr>
      <w:widowControl/>
      <w:suppressAutoHyphens w:val="true"/>
      <w:bidi w:val="0"/>
      <w:spacing w:lineRule="auto" w:line="240" w:before="0" w:after="0"/>
      <w:ind w:hanging="0" w:left="1400" w:right="0"/>
      <w:jc w:val="left"/>
    </w:pPr>
    <w:rPr>
      <w:rFonts w:ascii="XO Thames" w:hAnsi="XO Thames" w:eastAsia="NSimSun" w:cs="Lucida Sans"/>
      <w:color w:val="000000"/>
      <w:spacing w:val="0"/>
      <w:kern w:val="0"/>
      <w:sz w:val="28"/>
      <w:szCs w:val="20"/>
      <w:lang w:val="ru-RU" w:eastAsia="zh-CN" w:bidi="hi-IN"/>
    </w:rPr>
  </w:style>
  <w:style w:type="paragraph" w:styleId="120">
    <w:name w:val="Основной текст Знак1"/>
    <w:basedOn w:val="119"/>
    <w:link w:val="Style16"/>
    <w:qFormat/>
    <w:pPr/>
    <w:rPr>
      <w:rFonts w:ascii="Calibri" w:hAnsi="Calibri" w:asciiTheme="minorAscii" w:hAnsiTheme="minorHAnsi"/>
      <w:color w:val="000000"/>
      <w:sz w:val="22"/>
    </w:rPr>
  </w:style>
  <w:style w:type="paragraph" w:styleId="1112">
    <w:name w:val="Основной шрифт абзаца11"/>
    <w:link w:val="17"/>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Indexheading1">
    <w:name w:val="index heading1"/>
    <w:basedOn w:val="Normal"/>
    <w:link w:val="Indexheading"/>
    <w:qFormat/>
    <w:pPr/>
    <w:rPr/>
  </w:style>
  <w:style w:type="paragraph" w:styleId="Contents51">
    <w:name w:val="Contents 51"/>
    <w:link w:val="Contents5"/>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OC5">
    <w:name w:val="TOC 5"/>
    <w:next w:val="Normal"/>
    <w:uiPriority w:val="39"/>
    <w:pPr>
      <w:widowControl/>
      <w:suppressAutoHyphens w:val="true"/>
      <w:bidi w:val="0"/>
      <w:spacing w:lineRule="auto" w:line="240" w:before="0" w:after="0"/>
      <w:ind w:hanging="0" w:left="800" w:right="0"/>
      <w:jc w:val="left"/>
    </w:pPr>
    <w:rPr>
      <w:rFonts w:ascii="XO Thames" w:hAnsi="XO Thames" w:eastAsia="NSimSun" w:cs="Lucida Sans"/>
      <w:color w:val="000000"/>
      <w:spacing w:val="0"/>
      <w:kern w:val="0"/>
      <w:sz w:val="28"/>
      <w:szCs w:val="20"/>
      <w:lang w:val="ru-RU" w:eastAsia="zh-CN" w:bidi="hi-IN"/>
    </w:rPr>
  </w:style>
  <w:style w:type="paragraph" w:styleId="Contents31">
    <w:name w:val="Contents 31"/>
    <w:link w:val="Contents3"/>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23">
    <w:name w:val="Верхний колонтитул Знак2"/>
    <w:basedOn w:val="1112"/>
    <w:link w:val="Style17"/>
    <w:qFormat/>
    <w:pPr/>
    <w:rPr/>
  </w:style>
  <w:style w:type="paragraph" w:styleId="PlainText1">
    <w:name w:val="Plain Text1"/>
    <w:basedOn w:val="Normal"/>
    <w:link w:val="PlainText"/>
    <w:qFormat/>
    <w:pPr>
      <w:spacing w:lineRule="auto" w:line="240" w:before="0" w:after="0"/>
    </w:pPr>
    <w:rPr>
      <w:rFonts w:ascii="Calibri" w:hAnsi="Calibri"/>
    </w:rPr>
  </w:style>
  <w:style w:type="paragraph" w:styleId="24">
    <w:name w:val="Нижний колонтитул Знак2"/>
    <w:basedOn w:val="1112"/>
    <w:link w:val="Style18"/>
    <w:qFormat/>
    <w:pPr/>
    <w:rPr>
      <w:rFonts w:ascii="Times New Roman" w:hAnsi="Times New Roman"/>
      <w:sz w:val="28"/>
    </w:rPr>
  </w:style>
  <w:style w:type="paragraph" w:styleId="Contents11">
    <w:name w:val="Contents 11"/>
    <w:link w:val="Contents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BalloonText1">
    <w:name w:val="Balloon Text1"/>
    <w:basedOn w:val="Normal"/>
    <w:link w:val="BalloonText"/>
    <w:qFormat/>
    <w:pPr>
      <w:spacing w:lineRule="auto" w:line="240" w:before="0" w:after="0"/>
    </w:pPr>
    <w:rPr>
      <w:rFonts w:ascii="Segoe UI" w:hAnsi="Segoe UI"/>
      <w:sz w:val="18"/>
    </w:rPr>
  </w:style>
  <w:style w:type="paragraph" w:styleId="Contents81">
    <w:name w:val="Contents 81"/>
    <w:link w:val="Contents8"/>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412">
    <w:name w:val="Оглавление 4 Знак1"/>
    <w:link w:val="4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91">
    <w:name w:val="Оглавление 9 Знак1"/>
    <w:link w:val="9"/>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Contents71">
    <w:name w:val="Contents 71"/>
    <w:link w:val="Contents7"/>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13">
    <w:name w:val="Заголовок11"/>
    <w:basedOn w:val="119"/>
    <w:link w:val="18"/>
    <w:qFormat/>
    <w:pPr/>
    <w:rPr>
      <w:rFonts w:ascii="Liberation Sans" w:hAnsi="Liberation Sans"/>
      <w:color w:val="000000"/>
      <w:sz w:val="28"/>
    </w:rPr>
  </w:style>
  <w:style w:type="paragraph" w:styleId="NormalWeb1">
    <w:name w:val="Normal (Web)1"/>
    <w:basedOn w:val="Normal"/>
    <w:link w:val="NormalWeb"/>
    <w:qFormat/>
    <w:pPr>
      <w:spacing w:lineRule="auto" w:line="240" w:beforeAutospacing="1" w:afterAutospacing="1"/>
    </w:pPr>
    <w:rPr>
      <w:rFonts w:ascii="Times New Roman" w:hAnsi="Times New Roman"/>
      <w:sz w:val="24"/>
    </w:rPr>
  </w:style>
  <w:style w:type="paragraph" w:styleId="313">
    <w:name w:val="Оглавление 3 Знак1"/>
    <w:link w:val="32"/>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Style19">
    <w:name w:val="Заголовок таблицы"/>
    <w:basedOn w:val="110"/>
    <w:qFormat/>
    <w:pPr>
      <w:suppressLineNumbers/>
      <w:jc w:val="center"/>
    </w:pPr>
    <w:rPr>
      <w:b/>
      <w:bCs/>
    </w:rPr>
  </w:style>
  <w:style w:type="table" w:styleId="Style_90">
    <w:name w:val="Table Grid"/>
    <w:basedOn w:val="Style_2"/>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91">
    <w:name w:val="Сетка таблицы1"/>
    <w:basedOn w:val="Style_2"/>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 w:type="table" w:styleId="Style_92">
    <w:name w:val="Сетка таблицы2"/>
    <w:basedOn w:val="Style_2"/>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amgov.ru/mintrud" TargetMode="External"/><Relationship Id="rId3" Type="http://schemas.openxmlformats.org/officeDocument/2006/relationships/hyperlink" Target="https://www.kamgov.ru/mintrud" TargetMode="External"/><Relationship Id="rId4" Type="http://schemas.openxmlformats.org/officeDocument/2006/relationships/hyperlink" Target="https://www.kamgov.ru/mintrud" TargetMode="External"/><Relationship Id="rId5" Type="http://schemas.openxmlformats.org/officeDocument/2006/relationships/hyperlink" Target="https://www.kamgov.ru/agzanyat" TargetMode="External"/><Relationship Id="rId6" Type="http://schemas.openxmlformats.org/officeDocument/2006/relationships/hyperlink" Target="https://www.kamgov.ru/digital" TargetMode="External"/><Relationship Id="rId7" Type="http://schemas.openxmlformats.org/officeDocument/2006/relationships/hyperlink" Target="https://kamchatkairo.ru/images/books/DedykVR_Izuchenie_leksiki.pdf" TargetMode="External"/><Relationship Id="rId8" Type="http://schemas.openxmlformats.org/officeDocument/2006/relationships/hyperlink" Target="https://kamchatkairo.ru/images/books/Dedyk_Koryak_yazyk_7_klass.pdf" TargetMode="External"/><Relationship Id="rId9" Type="http://schemas.openxmlformats.org/officeDocument/2006/relationships/hyperlink" Target="https://kamchatkairo.ru/images/books/Zaeva_Glagol_itelmen.pdf" TargetMode="External"/><Relationship Id="rId10" Type="http://schemas.openxmlformats.org/officeDocument/2006/relationships/hyperlink" Target="https://kamchatkairo.ru/images/institute/izdat/KPV/KPV_2023_1_27.pdf" TargetMode="External"/><Relationship Id="rId11" Type="http://schemas.openxmlformats.org/officeDocument/2006/relationships/hyperlink" Target="https://kamchatkairo.ru/images/institute/izdat/KPV/KPV_2023_1_27.pdf" TargetMode="External"/><Relationship Id="rId12" Type="http://schemas.openxmlformats.org/officeDocument/2006/relationships/hyperlink" Target="https://kamchatkairo.ru/images/institute/izdat/KPV/KPV_2023_2_28.pdf" TargetMode="External"/><Relationship Id="rId13" Type="http://schemas.openxmlformats.org/officeDocument/2006/relationships/hyperlink" Target="https://www.kamgov.ru/agzanya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LibreOffice/24.2.0.3$Windows_X86_64 LibreOffice_project/da48488a73ddd66ea24cf16bbc4f7b9c08e9bea1</Application>
  <AppVersion>15.0000</AppVersion>
  <Pages>35</Pages>
  <Words>9622</Words>
  <Characters>69484</Characters>
  <CharactersWithSpaces>79030</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2024-03-06T15:32:46Z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